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B97BA" w14:textId="386F5BBF" w:rsidR="00CC370F" w:rsidRPr="00391E7B" w:rsidRDefault="00BF1715" w:rsidP="006B0032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746F36">
        <w:rPr>
          <w:rFonts w:ascii="Arial" w:hAnsi="Arial" w:cs="Arial"/>
          <w:b/>
          <w:color w:val="0070C0"/>
          <w:sz w:val="28"/>
          <w:szCs w:val="28"/>
        </w:rPr>
        <w:t>Stanovisko Rady</w:t>
      </w:r>
      <w:r w:rsidR="00BE77A0" w:rsidRPr="00746F36">
        <w:rPr>
          <w:rFonts w:ascii="Arial" w:hAnsi="Arial" w:cs="Arial"/>
          <w:b/>
          <w:color w:val="0070C0"/>
          <w:sz w:val="28"/>
          <w:szCs w:val="28"/>
        </w:rPr>
        <w:t xml:space="preserve"> pro výzkum, vývoj a inovace k </w:t>
      </w:r>
      <w:r w:rsidR="008F0E2E" w:rsidRPr="008F0E2E">
        <w:rPr>
          <w:rFonts w:ascii="Arial" w:hAnsi="Arial" w:cs="Arial"/>
          <w:b/>
          <w:color w:val="0070C0"/>
          <w:sz w:val="28"/>
          <w:szCs w:val="28"/>
        </w:rPr>
        <w:t>„Návrh</w:t>
      </w:r>
      <w:r w:rsidR="008F0E2E">
        <w:rPr>
          <w:rFonts w:ascii="Arial" w:hAnsi="Arial" w:cs="Arial"/>
          <w:b/>
          <w:color w:val="0070C0"/>
          <w:sz w:val="28"/>
          <w:szCs w:val="28"/>
        </w:rPr>
        <w:t>u</w:t>
      </w:r>
      <w:r w:rsidR="008F0E2E" w:rsidRPr="008F0E2E">
        <w:rPr>
          <w:rFonts w:ascii="Arial" w:hAnsi="Arial" w:cs="Arial"/>
          <w:b/>
          <w:color w:val="0070C0"/>
          <w:sz w:val="28"/>
          <w:szCs w:val="28"/>
        </w:rPr>
        <w:t xml:space="preserve"> na změnu Programu na podporu zdravotnického aplikovaného výzkumu na léta 2024 – 2030“</w:t>
      </w:r>
      <w:r w:rsidR="00746F36" w:rsidRPr="00746F36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337888F2" w14:textId="77777777" w:rsidR="006A30ED" w:rsidRPr="00391E7B" w:rsidRDefault="00BF1715" w:rsidP="006A30ED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391E7B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14:paraId="322A859B" w14:textId="38D18668" w:rsidR="005116B5" w:rsidRPr="00391E7B" w:rsidRDefault="00571676" w:rsidP="006A30E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1E7B">
        <w:rPr>
          <w:rFonts w:ascii="Arial" w:hAnsi="Arial" w:cs="Arial"/>
          <w:sz w:val="22"/>
          <w:szCs w:val="22"/>
        </w:rPr>
        <w:t xml:space="preserve">Návrh na </w:t>
      </w:r>
      <w:r w:rsidR="00746F36">
        <w:rPr>
          <w:rFonts w:ascii="Arial" w:hAnsi="Arial" w:cs="Arial"/>
          <w:sz w:val="22"/>
          <w:szCs w:val="22"/>
        </w:rPr>
        <w:t xml:space="preserve">změnu </w:t>
      </w:r>
      <w:r w:rsidR="00746F36" w:rsidRPr="00746F36">
        <w:rPr>
          <w:rFonts w:ascii="Arial" w:hAnsi="Arial" w:cs="Arial"/>
          <w:sz w:val="22"/>
          <w:szCs w:val="22"/>
        </w:rPr>
        <w:t xml:space="preserve">Programu na podporu zdravotnického aplikovaného výzkumu na léta 2024 – 2030 </w:t>
      </w:r>
      <w:r w:rsidR="00746F36">
        <w:rPr>
          <w:rFonts w:ascii="Arial" w:hAnsi="Arial" w:cs="Arial"/>
          <w:sz w:val="22"/>
          <w:szCs w:val="22"/>
        </w:rPr>
        <w:t xml:space="preserve">(dále jen „Program“) </w:t>
      </w:r>
      <w:r w:rsidRPr="00391E7B">
        <w:rPr>
          <w:rFonts w:ascii="Arial" w:hAnsi="Arial" w:cs="Arial"/>
          <w:sz w:val="22"/>
          <w:szCs w:val="22"/>
        </w:rPr>
        <w:t>byl předložen Radě pro výzkum, vývoj a</w:t>
      </w:r>
      <w:r w:rsidR="00CF0116" w:rsidRPr="00391E7B">
        <w:rPr>
          <w:rFonts w:ascii="Arial" w:hAnsi="Arial" w:cs="Arial"/>
          <w:sz w:val="22"/>
          <w:szCs w:val="22"/>
          <w:lang w:val="en-US"/>
        </w:rPr>
        <w:t> </w:t>
      </w:r>
      <w:r w:rsidRPr="00391E7B">
        <w:rPr>
          <w:rFonts w:ascii="Arial" w:hAnsi="Arial" w:cs="Arial"/>
          <w:sz w:val="22"/>
          <w:szCs w:val="22"/>
        </w:rPr>
        <w:t xml:space="preserve">inovace </w:t>
      </w:r>
      <w:r w:rsidR="00CF0116" w:rsidRPr="00391E7B">
        <w:rPr>
          <w:rFonts w:ascii="Arial" w:hAnsi="Arial" w:cs="Arial"/>
          <w:sz w:val="22"/>
          <w:szCs w:val="22"/>
        </w:rPr>
        <w:t xml:space="preserve">(dále jen „Rada“) </w:t>
      </w:r>
      <w:r w:rsidR="00D76AE7">
        <w:rPr>
          <w:rFonts w:ascii="Arial" w:hAnsi="Arial" w:cs="Arial"/>
          <w:sz w:val="22"/>
          <w:szCs w:val="22"/>
        </w:rPr>
        <w:t>na </w:t>
      </w:r>
      <w:r w:rsidR="00B66E9F" w:rsidRPr="00391E7B">
        <w:rPr>
          <w:rFonts w:ascii="Arial" w:hAnsi="Arial" w:cs="Arial"/>
          <w:sz w:val="22"/>
          <w:szCs w:val="22"/>
        </w:rPr>
        <w:t xml:space="preserve">základě </w:t>
      </w:r>
      <w:r w:rsidR="00847929" w:rsidRPr="00391E7B">
        <w:rPr>
          <w:rFonts w:ascii="Arial" w:hAnsi="Arial" w:cs="Arial"/>
          <w:sz w:val="22"/>
          <w:szCs w:val="22"/>
        </w:rPr>
        <w:t>ž</w:t>
      </w:r>
      <w:r w:rsidR="00B66E9F" w:rsidRPr="00391E7B">
        <w:rPr>
          <w:rFonts w:ascii="Arial" w:hAnsi="Arial" w:cs="Arial"/>
          <w:sz w:val="22"/>
          <w:szCs w:val="22"/>
        </w:rPr>
        <w:t>ádosti</w:t>
      </w:r>
      <w:r w:rsidRPr="00391E7B">
        <w:rPr>
          <w:rFonts w:ascii="Arial" w:hAnsi="Arial" w:cs="Arial"/>
          <w:sz w:val="22"/>
          <w:szCs w:val="22"/>
        </w:rPr>
        <w:t xml:space="preserve"> </w:t>
      </w:r>
      <w:r w:rsidR="00847929" w:rsidRPr="00391E7B">
        <w:rPr>
          <w:rFonts w:ascii="Arial" w:hAnsi="Arial" w:cs="Arial"/>
          <w:sz w:val="22"/>
          <w:szCs w:val="22"/>
        </w:rPr>
        <w:t>M</w:t>
      </w:r>
      <w:r w:rsidR="00391E7B" w:rsidRPr="00391E7B">
        <w:rPr>
          <w:rFonts w:ascii="Arial" w:hAnsi="Arial" w:cs="Arial"/>
          <w:sz w:val="22"/>
          <w:szCs w:val="22"/>
        </w:rPr>
        <w:t>inisterstva zdravotnictví</w:t>
      </w:r>
      <w:r w:rsidR="00847929" w:rsidRPr="00391E7B">
        <w:rPr>
          <w:rFonts w:ascii="Arial" w:hAnsi="Arial" w:cs="Arial"/>
          <w:sz w:val="22"/>
          <w:szCs w:val="22"/>
        </w:rPr>
        <w:t xml:space="preserve"> </w:t>
      </w:r>
      <w:r w:rsidR="00BE77A0" w:rsidRPr="00391E7B">
        <w:rPr>
          <w:rFonts w:ascii="Arial" w:hAnsi="Arial" w:cs="Arial"/>
          <w:sz w:val="22"/>
          <w:szCs w:val="22"/>
        </w:rPr>
        <w:t>(dále jen „poskytovatel“)</w:t>
      </w:r>
      <w:r w:rsidR="00132384" w:rsidRPr="00391E7B">
        <w:rPr>
          <w:rFonts w:ascii="Arial" w:hAnsi="Arial" w:cs="Arial"/>
          <w:sz w:val="22"/>
          <w:szCs w:val="22"/>
        </w:rPr>
        <w:t> </w:t>
      </w:r>
      <w:r w:rsidR="00766839" w:rsidRPr="00391E7B">
        <w:rPr>
          <w:rFonts w:ascii="Arial" w:hAnsi="Arial" w:cs="Arial"/>
          <w:sz w:val="22"/>
          <w:szCs w:val="22"/>
        </w:rPr>
        <w:t xml:space="preserve">ze </w:t>
      </w:r>
      <w:r w:rsidR="00391E7B" w:rsidRPr="00391E7B">
        <w:rPr>
          <w:rFonts w:ascii="Arial" w:hAnsi="Arial" w:cs="Arial"/>
          <w:sz w:val="22"/>
          <w:szCs w:val="22"/>
        </w:rPr>
        <w:t>dne 16</w:t>
      </w:r>
      <w:r w:rsidR="00847929" w:rsidRPr="00391E7B">
        <w:rPr>
          <w:rFonts w:ascii="Arial" w:hAnsi="Arial" w:cs="Arial"/>
          <w:sz w:val="22"/>
          <w:szCs w:val="22"/>
        </w:rPr>
        <w:t>. února 2024</w:t>
      </w:r>
      <w:r w:rsidR="00391E7B" w:rsidRPr="00391E7B">
        <w:rPr>
          <w:rFonts w:ascii="Arial" w:hAnsi="Arial" w:cs="Arial"/>
          <w:sz w:val="22"/>
          <w:szCs w:val="22"/>
        </w:rPr>
        <w:t>, č.</w:t>
      </w:r>
      <w:r w:rsidR="00391E7B" w:rsidRPr="00391E7B">
        <w:t xml:space="preserve"> </w:t>
      </w:r>
      <w:r w:rsidR="00391E7B" w:rsidRPr="00391E7B">
        <w:rPr>
          <w:rFonts w:ascii="Arial" w:hAnsi="Arial" w:cs="Arial"/>
          <w:sz w:val="22"/>
          <w:szCs w:val="22"/>
        </w:rPr>
        <w:t>j.: MZDR 4520/2024-2/VVD.</w:t>
      </w:r>
    </w:p>
    <w:p w14:paraId="24544F0C" w14:textId="77777777" w:rsidR="00BF1715" w:rsidRPr="00D80600" w:rsidRDefault="00BF1715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D80600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14:paraId="51693AA0" w14:textId="3033D368" w:rsidR="005116B5" w:rsidRPr="00D80600" w:rsidRDefault="004D2D6C" w:rsidP="006A30ED">
      <w:pPr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D80600">
        <w:rPr>
          <w:rFonts w:ascii="Arial" w:hAnsi="Arial" w:cs="Arial"/>
          <w:sz w:val="22"/>
          <w:szCs w:val="22"/>
        </w:rPr>
        <w:t>N</w:t>
      </w:r>
      <w:r w:rsidR="00492346" w:rsidRPr="00D80600">
        <w:rPr>
          <w:rFonts w:ascii="Arial" w:hAnsi="Arial" w:cs="Arial"/>
          <w:sz w:val="22"/>
          <w:szCs w:val="22"/>
        </w:rPr>
        <w:t xml:space="preserve">ávrh byl projednán na </w:t>
      </w:r>
      <w:r w:rsidR="001C49D2" w:rsidRPr="00D80600">
        <w:rPr>
          <w:rFonts w:ascii="Arial" w:hAnsi="Arial" w:cs="Arial"/>
          <w:sz w:val="22"/>
          <w:szCs w:val="22"/>
        </w:rPr>
        <w:t>399</w:t>
      </w:r>
      <w:r w:rsidR="00E57AEA" w:rsidRPr="00D80600">
        <w:rPr>
          <w:rFonts w:ascii="Arial" w:hAnsi="Arial" w:cs="Arial"/>
          <w:sz w:val="22"/>
          <w:szCs w:val="22"/>
        </w:rPr>
        <w:t xml:space="preserve">. </w:t>
      </w:r>
      <w:r w:rsidR="008F2B28" w:rsidRPr="00D80600">
        <w:rPr>
          <w:rFonts w:ascii="Arial" w:hAnsi="Arial" w:cs="Arial"/>
          <w:sz w:val="22"/>
          <w:szCs w:val="22"/>
        </w:rPr>
        <w:t xml:space="preserve">zasedání Rady dne </w:t>
      </w:r>
      <w:r w:rsidR="00D80600" w:rsidRPr="00D80600">
        <w:rPr>
          <w:rFonts w:ascii="Arial" w:hAnsi="Arial" w:cs="Arial"/>
          <w:sz w:val="22"/>
          <w:szCs w:val="22"/>
        </w:rPr>
        <w:t>22. března</w:t>
      </w:r>
      <w:r w:rsidR="00D97AE9">
        <w:rPr>
          <w:rFonts w:ascii="Arial" w:hAnsi="Arial" w:cs="Arial"/>
          <w:sz w:val="22"/>
          <w:szCs w:val="22"/>
        </w:rPr>
        <w:t xml:space="preserve"> 2024</w:t>
      </w:r>
      <w:r w:rsidR="00E57AEA" w:rsidRPr="00D80600">
        <w:rPr>
          <w:rFonts w:ascii="Arial" w:hAnsi="Arial" w:cs="Arial"/>
          <w:sz w:val="22"/>
          <w:szCs w:val="22"/>
        </w:rPr>
        <w:t>.</w:t>
      </w:r>
    </w:p>
    <w:p w14:paraId="4CFAFFF7" w14:textId="77777777" w:rsidR="00B025F8" w:rsidRPr="00D97AE9" w:rsidRDefault="008F566B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D97AE9">
        <w:rPr>
          <w:rFonts w:ascii="Arial" w:hAnsi="Arial" w:cs="Arial"/>
          <w:b/>
          <w:color w:val="0070C0"/>
          <w:sz w:val="28"/>
          <w:szCs w:val="28"/>
        </w:rPr>
        <w:t>P</w:t>
      </w:r>
      <w:r w:rsidR="00B025F8" w:rsidRPr="00D97AE9">
        <w:rPr>
          <w:rFonts w:ascii="Arial" w:hAnsi="Arial" w:cs="Arial"/>
          <w:b/>
          <w:color w:val="0070C0"/>
          <w:sz w:val="28"/>
          <w:szCs w:val="28"/>
        </w:rPr>
        <w:t>rogram a jeho dosavadní</w:t>
      </w:r>
      <w:r w:rsidRPr="00D97AE9">
        <w:rPr>
          <w:rFonts w:ascii="Arial" w:hAnsi="Arial" w:cs="Arial"/>
          <w:b/>
          <w:color w:val="0070C0"/>
          <w:sz w:val="28"/>
          <w:szCs w:val="28"/>
        </w:rPr>
        <w:t xml:space="preserve"> průběh</w:t>
      </w:r>
    </w:p>
    <w:p w14:paraId="7A35B343" w14:textId="7B232EF8" w:rsidR="00847929" w:rsidRPr="00D97AE9" w:rsidRDefault="00847929" w:rsidP="006B0032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7AE9">
        <w:rPr>
          <w:rFonts w:ascii="Arial" w:hAnsi="Arial" w:cs="Arial"/>
          <w:sz w:val="22"/>
          <w:szCs w:val="22"/>
        </w:rPr>
        <w:t xml:space="preserve">Program byl </w:t>
      </w:r>
      <w:r w:rsidR="00D97AE9" w:rsidRPr="00D97AE9">
        <w:rPr>
          <w:rFonts w:ascii="Arial" w:hAnsi="Arial" w:cs="Arial"/>
          <w:sz w:val="22"/>
          <w:szCs w:val="22"/>
        </w:rPr>
        <w:t>schválen Usnesením vlády č. 199 ze dne 22. března 2023</w:t>
      </w:r>
      <w:r w:rsidRPr="00D97AE9">
        <w:rPr>
          <w:rFonts w:ascii="Arial" w:hAnsi="Arial" w:cs="Arial"/>
          <w:sz w:val="22"/>
          <w:szCs w:val="22"/>
        </w:rPr>
        <w:t>.</w:t>
      </w:r>
    </w:p>
    <w:p w14:paraId="2F3460B9" w14:textId="62642C72" w:rsidR="00420FA1" w:rsidRDefault="00D97AE9" w:rsidP="006B0032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7AE9">
        <w:rPr>
          <w:rFonts w:ascii="Arial" w:hAnsi="Arial" w:cs="Arial"/>
          <w:sz w:val="22"/>
          <w:szCs w:val="22"/>
        </w:rPr>
        <w:t>Hlavním cílem Programu je prostřednictvím výstupů a dopadů z podpořených projektů přispět k zajištění a dalšímu rozvoji mezinárodně kompetitivního zdravotnického výzkumu České republiky, jehož úroveň bude srovnatelná s vyspělými státy Evropské unie. Realizace Programu následně přispěje k zajištění vývoje prakticky využitelných výsledků pro potřeby zdravotnictví, a to v oblasti veřejného z</w:t>
      </w:r>
      <w:r w:rsidR="00625550">
        <w:rPr>
          <w:rFonts w:ascii="Arial" w:hAnsi="Arial" w:cs="Arial"/>
          <w:sz w:val="22"/>
          <w:szCs w:val="22"/>
        </w:rPr>
        <w:t>draví, objasňování patogeneze a </w:t>
      </w:r>
      <w:r w:rsidRPr="00D97AE9">
        <w:rPr>
          <w:rFonts w:ascii="Arial" w:hAnsi="Arial" w:cs="Arial"/>
          <w:sz w:val="22"/>
          <w:szCs w:val="22"/>
        </w:rPr>
        <w:t xml:space="preserve">rozvoje chorob, či hledání inovativních řešení pro medicínu, se zřetelem k dodržení maximální efektivity užití veřejných prostředků. </w:t>
      </w:r>
    </w:p>
    <w:p w14:paraId="2E51565A" w14:textId="08BF6384" w:rsidR="00437322" w:rsidRPr="0088148C" w:rsidRDefault="00D97AE9" w:rsidP="0088148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97AE9">
        <w:rPr>
          <w:rFonts w:ascii="Arial" w:hAnsi="Arial" w:cs="Arial"/>
          <w:sz w:val="22"/>
          <w:szCs w:val="22"/>
        </w:rPr>
        <w:t>V rámci podpořených projektů bude dosaženo nových poznatků, jejichž konkrétní záměr nebo cíl bude směřovat ke zlepšení klinických postupů v diagnostice, léčbě a prevenci při řešení nejčastějších, ale i vzácných nebo zcela novýc</w:t>
      </w:r>
      <w:r w:rsidR="00625550">
        <w:rPr>
          <w:rFonts w:ascii="Arial" w:hAnsi="Arial" w:cs="Arial"/>
          <w:sz w:val="22"/>
          <w:szCs w:val="22"/>
        </w:rPr>
        <w:t>h onemocnění. Ve střednědobém i </w:t>
      </w:r>
      <w:r w:rsidRPr="00D97AE9">
        <w:rPr>
          <w:rFonts w:ascii="Arial" w:hAnsi="Arial" w:cs="Arial"/>
          <w:sz w:val="22"/>
          <w:szCs w:val="22"/>
        </w:rPr>
        <w:t xml:space="preserve">dlouhodobém horizontu bude mít realizace Programu pozitivní dopad na zabezpečení aktuálních potřeb zdravotnictví v České republice a napomůže k celkovému zlepšování lidského zdraví, ať už v kontextu české populace nebo v celosvětovém měřítku. </w:t>
      </w:r>
    </w:p>
    <w:p w14:paraId="4A145B64" w14:textId="7B3EABCA" w:rsidR="00643852" w:rsidRPr="00437322" w:rsidRDefault="00420FA1" w:rsidP="006B0032">
      <w:pPr>
        <w:spacing w:after="12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437322">
        <w:rPr>
          <w:rFonts w:ascii="Arial" w:hAnsi="Arial" w:cs="Arial"/>
          <w:b/>
          <w:sz w:val="22"/>
          <w:szCs w:val="22"/>
        </w:rPr>
        <w:t>Program měl v původním návrhu schváleným vládou 2</w:t>
      </w:r>
      <w:r w:rsidR="00643852" w:rsidRPr="00437322">
        <w:rPr>
          <w:rFonts w:ascii="Arial" w:hAnsi="Arial" w:cs="Arial"/>
          <w:b/>
          <w:sz w:val="22"/>
          <w:szCs w:val="22"/>
        </w:rPr>
        <w:t xml:space="preserve"> podprogramy:</w:t>
      </w:r>
    </w:p>
    <w:p w14:paraId="2CF887AD" w14:textId="50D09A13" w:rsidR="00103A2C" w:rsidRPr="00437322" w:rsidRDefault="00437322" w:rsidP="006A30E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37322">
        <w:rPr>
          <w:rFonts w:ascii="Arial" w:hAnsi="Arial" w:cs="Arial"/>
          <w:sz w:val="22"/>
          <w:szCs w:val="22"/>
          <w:u w:val="single"/>
        </w:rPr>
        <w:t>Podprogram 1:</w:t>
      </w:r>
    </w:p>
    <w:p w14:paraId="6DB3AF44" w14:textId="6EAB3A1B" w:rsidR="00437322" w:rsidRPr="00437322" w:rsidRDefault="00437322" w:rsidP="006A30E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  <w:r w:rsidRPr="00437322">
        <w:rPr>
          <w:rFonts w:ascii="Arial" w:hAnsi="Arial" w:cs="Arial"/>
          <w:sz w:val="22"/>
          <w:szCs w:val="22"/>
        </w:rPr>
        <w:t xml:space="preserve">Hlavním cílem je dále rozvíjet stávající platformu zdravotnického aplikovaného výzkumu v České republice s tím, že je nutné zaměřit se více na zlepšení podmínek pro rozvoj </w:t>
      </w:r>
      <w:bookmarkStart w:id="0" w:name="_GoBack"/>
      <w:r w:rsidRPr="00437322">
        <w:rPr>
          <w:rFonts w:ascii="Arial" w:hAnsi="Arial" w:cs="Arial"/>
          <w:sz w:val="22"/>
          <w:szCs w:val="22"/>
        </w:rPr>
        <w:t>meziná</w:t>
      </w:r>
      <w:bookmarkEnd w:id="0"/>
      <w:r w:rsidRPr="00437322">
        <w:rPr>
          <w:rFonts w:ascii="Arial" w:hAnsi="Arial" w:cs="Arial"/>
          <w:sz w:val="22"/>
          <w:szCs w:val="22"/>
        </w:rPr>
        <w:t>rodní spolupráce.</w:t>
      </w:r>
    </w:p>
    <w:p w14:paraId="6FD4A47F" w14:textId="2069706D" w:rsidR="00103A2C" w:rsidRPr="00437322" w:rsidRDefault="00437322" w:rsidP="00103A2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37322">
        <w:rPr>
          <w:rFonts w:ascii="Arial" w:hAnsi="Arial" w:cs="Arial"/>
          <w:sz w:val="22"/>
          <w:szCs w:val="22"/>
          <w:u w:val="single"/>
        </w:rPr>
        <w:t>Podprogram 2:</w:t>
      </w:r>
    </w:p>
    <w:p w14:paraId="7CAB92F7" w14:textId="44B3B8A5" w:rsidR="00790116" w:rsidRDefault="00437322" w:rsidP="00437322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  <w:r w:rsidRPr="00437322">
        <w:rPr>
          <w:rFonts w:ascii="Arial" w:hAnsi="Arial" w:cs="Arial"/>
          <w:sz w:val="22"/>
          <w:szCs w:val="22"/>
        </w:rPr>
        <w:t xml:space="preserve">Hlavním cílem Podprogramu 2 je podpora rozvoje mladých výzkumníků v jejich </w:t>
      </w:r>
      <w:proofErr w:type="spellStart"/>
      <w:r w:rsidRPr="00437322">
        <w:rPr>
          <w:rFonts w:ascii="Arial" w:hAnsi="Arial" w:cs="Arial"/>
          <w:sz w:val="22"/>
          <w:szCs w:val="22"/>
        </w:rPr>
        <w:t>juniorní</w:t>
      </w:r>
      <w:proofErr w:type="spellEnd"/>
      <w:r w:rsidRPr="00437322">
        <w:rPr>
          <w:rFonts w:ascii="Arial" w:hAnsi="Arial" w:cs="Arial"/>
          <w:sz w:val="22"/>
          <w:szCs w:val="22"/>
        </w:rPr>
        <w:t xml:space="preserve"> výzkumné činnosti a s tím související omlazení výzkumné ob</w:t>
      </w:r>
      <w:r w:rsidR="00FB3477">
        <w:rPr>
          <w:rFonts w:ascii="Arial" w:hAnsi="Arial" w:cs="Arial"/>
          <w:sz w:val="22"/>
          <w:szCs w:val="22"/>
        </w:rPr>
        <w:t>ce v oblasti zdravotnictví, aby </w:t>
      </w:r>
      <w:r w:rsidRPr="00437322">
        <w:rPr>
          <w:rFonts w:ascii="Arial" w:hAnsi="Arial" w:cs="Arial"/>
          <w:sz w:val="22"/>
          <w:szCs w:val="22"/>
        </w:rPr>
        <w:t>zůstala zachována kontinuita zdravotnického aplikovaného výzkumu pro budoucí generace.</w:t>
      </w:r>
    </w:p>
    <w:p w14:paraId="1E663C59" w14:textId="5CEC7D9F" w:rsidR="00437322" w:rsidRPr="009036A7" w:rsidRDefault="00457A97" w:rsidP="009036A7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Navrhovaná změna Programu spočívá v </w:t>
      </w:r>
      <w:r w:rsidR="00437322" w:rsidRPr="009036A7">
        <w:rPr>
          <w:rFonts w:ascii="Arial" w:hAnsi="Arial" w:cs="Arial"/>
          <w:sz w:val="22"/>
          <w:szCs w:val="22"/>
        </w:rPr>
        <w:t>rozšíř</w:t>
      </w:r>
      <w:r>
        <w:rPr>
          <w:rFonts w:ascii="Arial" w:hAnsi="Arial" w:cs="Arial"/>
          <w:sz w:val="22"/>
          <w:szCs w:val="22"/>
        </w:rPr>
        <w:t>ení</w:t>
      </w:r>
      <w:r w:rsidR="00437322" w:rsidRPr="009036A7">
        <w:rPr>
          <w:rFonts w:ascii="Arial" w:hAnsi="Arial" w:cs="Arial"/>
          <w:sz w:val="22"/>
          <w:szCs w:val="22"/>
        </w:rPr>
        <w:t xml:space="preserve"> o Podprogram 3</w:t>
      </w:r>
      <w:r w:rsidR="00D7317A">
        <w:rPr>
          <w:rFonts w:ascii="Arial" w:hAnsi="Arial" w:cs="Arial"/>
          <w:sz w:val="22"/>
          <w:szCs w:val="22"/>
        </w:rPr>
        <w:t xml:space="preserve"> - </w:t>
      </w:r>
      <w:r w:rsidR="00D7317A" w:rsidRPr="00D7317A">
        <w:rPr>
          <w:rFonts w:ascii="Arial" w:hAnsi="Arial" w:cs="Arial"/>
          <w:sz w:val="22"/>
          <w:szCs w:val="22"/>
        </w:rPr>
        <w:t>„Evropská partnerství v oblasti zdraví“</w:t>
      </w:r>
      <w:r w:rsidR="009036A7">
        <w:rPr>
          <w:rFonts w:ascii="Arial" w:hAnsi="Arial" w:cs="Arial"/>
          <w:sz w:val="22"/>
          <w:szCs w:val="22"/>
        </w:rPr>
        <w:t>, který by byl zaměřen na</w:t>
      </w:r>
      <w:r w:rsidR="009036A7">
        <w:t xml:space="preserve"> </w:t>
      </w:r>
      <w:r w:rsidR="009036A7">
        <w:rPr>
          <w:rFonts w:ascii="Arial" w:hAnsi="Arial" w:cs="Arial"/>
          <w:sz w:val="22"/>
          <w:szCs w:val="22"/>
        </w:rPr>
        <w:t xml:space="preserve">evropská partnerství pro oblast zdravotního aplikovaného výzkumu, </w:t>
      </w:r>
      <w:r w:rsidR="009036A7" w:rsidRPr="009036A7">
        <w:rPr>
          <w:rFonts w:ascii="Arial" w:hAnsi="Arial" w:cs="Arial"/>
          <w:sz w:val="22"/>
          <w:szCs w:val="22"/>
        </w:rPr>
        <w:t>což v dané chvíli představuje jediný možný nástroj pote</w:t>
      </w:r>
      <w:r w:rsidR="009036A7">
        <w:rPr>
          <w:rFonts w:ascii="Arial" w:hAnsi="Arial" w:cs="Arial"/>
          <w:sz w:val="22"/>
          <w:szCs w:val="22"/>
        </w:rPr>
        <w:t xml:space="preserve">nciálního </w:t>
      </w:r>
      <w:r w:rsidR="009036A7">
        <w:rPr>
          <w:rFonts w:ascii="Arial" w:hAnsi="Arial" w:cs="Arial"/>
          <w:sz w:val="22"/>
          <w:szCs w:val="22"/>
        </w:rPr>
        <w:lastRenderedPageBreak/>
        <w:t xml:space="preserve">zapojení do projektů </w:t>
      </w:r>
      <w:r w:rsidR="009036A7" w:rsidRPr="009036A7">
        <w:rPr>
          <w:rFonts w:ascii="Arial" w:hAnsi="Arial" w:cs="Arial"/>
          <w:sz w:val="22"/>
          <w:szCs w:val="22"/>
        </w:rPr>
        <w:t>e</w:t>
      </w:r>
      <w:r w:rsidR="009036A7">
        <w:rPr>
          <w:rFonts w:ascii="Arial" w:hAnsi="Arial" w:cs="Arial"/>
          <w:sz w:val="22"/>
          <w:szCs w:val="22"/>
        </w:rPr>
        <w:t>vropských partnerství od roku</w:t>
      </w:r>
      <w:r w:rsidR="009036A7" w:rsidRPr="009036A7">
        <w:rPr>
          <w:rFonts w:ascii="Arial" w:hAnsi="Arial" w:cs="Arial"/>
          <w:sz w:val="22"/>
          <w:szCs w:val="22"/>
        </w:rPr>
        <w:t xml:space="preserve"> 2025. </w:t>
      </w:r>
      <w:r w:rsidR="009036A7">
        <w:rPr>
          <w:rFonts w:ascii="Arial" w:hAnsi="Arial" w:cs="Arial"/>
          <w:sz w:val="22"/>
          <w:szCs w:val="22"/>
        </w:rPr>
        <w:t>Tento Podprogram by měl umožnit aktivní</w:t>
      </w:r>
      <w:r w:rsidR="009036A7" w:rsidRPr="009036A7">
        <w:rPr>
          <w:rFonts w:ascii="Arial" w:hAnsi="Arial" w:cs="Arial"/>
          <w:sz w:val="22"/>
          <w:szCs w:val="22"/>
        </w:rPr>
        <w:t xml:space="preserve"> zapojení českých výzkumných tý</w:t>
      </w:r>
      <w:r w:rsidR="009036A7">
        <w:rPr>
          <w:rFonts w:ascii="Arial" w:hAnsi="Arial" w:cs="Arial"/>
          <w:sz w:val="22"/>
          <w:szCs w:val="22"/>
        </w:rPr>
        <w:t xml:space="preserve">mů do spolufinancovaných výzev </w:t>
      </w:r>
      <w:r w:rsidR="009036A7" w:rsidRPr="009036A7">
        <w:rPr>
          <w:rFonts w:ascii="Arial" w:hAnsi="Arial" w:cs="Arial"/>
          <w:sz w:val="22"/>
          <w:szCs w:val="22"/>
        </w:rPr>
        <w:t>vyhlašovaných v rámci evropských partnerství</w:t>
      </w:r>
      <w:r w:rsidR="009036A7">
        <w:rPr>
          <w:rFonts w:ascii="Arial" w:hAnsi="Arial" w:cs="Arial"/>
          <w:sz w:val="22"/>
          <w:szCs w:val="22"/>
        </w:rPr>
        <w:t xml:space="preserve"> rámcového programu pro výzkum </w:t>
      </w:r>
      <w:r w:rsidR="009036A7" w:rsidRPr="009036A7">
        <w:rPr>
          <w:rFonts w:ascii="Arial" w:hAnsi="Arial" w:cs="Arial"/>
          <w:sz w:val="22"/>
          <w:szCs w:val="22"/>
        </w:rPr>
        <w:t>a inovace Horizontu Evropa, jehož jsou evropská partn</w:t>
      </w:r>
      <w:r w:rsidR="009036A7">
        <w:rPr>
          <w:rFonts w:ascii="Arial" w:hAnsi="Arial" w:cs="Arial"/>
          <w:sz w:val="22"/>
          <w:szCs w:val="22"/>
        </w:rPr>
        <w:t xml:space="preserve">erství klíčovým implementačním </w:t>
      </w:r>
      <w:r w:rsidR="009036A7" w:rsidRPr="009036A7">
        <w:rPr>
          <w:rFonts w:ascii="Arial" w:hAnsi="Arial" w:cs="Arial"/>
          <w:sz w:val="22"/>
          <w:szCs w:val="22"/>
        </w:rPr>
        <w:t xml:space="preserve">nástrojem. </w:t>
      </w:r>
    </w:p>
    <w:p w14:paraId="3F381DFD" w14:textId="77777777" w:rsidR="00BF1715" w:rsidRPr="009036A7" w:rsidRDefault="001E518C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9036A7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9036A7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14:paraId="66E33D29" w14:textId="77777777" w:rsidR="00E7659E" w:rsidRPr="009036A7" w:rsidRDefault="008F2B28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036A7">
        <w:rPr>
          <w:rFonts w:ascii="Arial" w:hAnsi="Arial" w:cs="Arial"/>
          <w:sz w:val="22"/>
          <w:szCs w:val="22"/>
        </w:rPr>
        <w:t xml:space="preserve">Rada hodnotí náležitosti </w:t>
      </w:r>
      <w:r w:rsidR="00A513E5" w:rsidRPr="009036A7">
        <w:rPr>
          <w:rFonts w:ascii="Arial" w:hAnsi="Arial" w:cs="Arial"/>
          <w:sz w:val="22"/>
          <w:szCs w:val="22"/>
        </w:rPr>
        <w:t>ná</w:t>
      </w:r>
      <w:r w:rsidRPr="009036A7">
        <w:rPr>
          <w:rFonts w:ascii="Arial" w:hAnsi="Arial" w:cs="Arial"/>
          <w:sz w:val="22"/>
          <w:szCs w:val="22"/>
        </w:rPr>
        <w:t xml:space="preserve">vrhu na </w:t>
      </w:r>
      <w:r w:rsidR="00A92BF6" w:rsidRPr="009036A7">
        <w:rPr>
          <w:rFonts w:ascii="Arial" w:hAnsi="Arial" w:cs="Arial"/>
          <w:sz w:val="22"/>
          <w:szCs w:val="22"/>
        </w:rPr>
        <w:t>změnu</w:t>
      </w:r>
      <w:r w:rsidRPr="009036A7">
        <w:rPr>
          <w:rFonts w:ascii="Arial" w:hAnsi="Arial" w:cs="Arial"/>
          <w:sz w:val="22"/>
          <w:szCs w:val="22"/>
        </w:rPr>
        <w:t xml:space="preserve"> Programu</w:t>
      </w:r>
      <w:r w:rsidR="004D2D6C" w:rsidRPr="009036A7">
        <w:rPr>
          <w:rFonts w:ascii="Arial" w:hAnsi="Arial" w:cs="Arial"/>
          <w:sz w:val="22"/>
          <w:szCs w:val="22"/>
        </w:rPr>
        <w:t xml:space="preserve"> ve smyslu § 5 odst. 3</w:t>
      </w:r>
      <w:r w:rsidR="007E65F4" w:rsidRPr="009036A7">
        <w:rPr>
          <w:rFonts w:ascii="Arial" w:hAnsi="Arial" w:cs="Arial"/>
          <w:sz w:val="22"/>
          <w:szCs w:val="22"/>
        </w:rPr>
        <w:t> </w:t>
      </w:r>
      <w:r w:rsidR="004D2D6C" w:rsidRPr="009036A7">
        <w:rPr>
          <w:rFonts w:ascii="Arial" w:hAnsi="Arial" w:cs="Arial"/>
          <w:sz w:val="22"/>
          <w:szCs w:val="22"/>
        </w:rPr>
        <w:t>zákona č.</w:t>
      </w:r>
      <w:r w:rsidR="00B02709" w:rsidRPr="009036A7">
        <w:rPr>
          <w:rFonts w:ascii="Arial" w:hAnsi="Arial" w:cs="Arial"/>
          <w:sz w:val="22"/>
          <w:szCs w:val="22"/>
        </w:rPr>
        <w:t> </w:t>
      </w:r>
      <w:r w:rsidR="004D2D6C" w:rsidRPr="009036A7">
        <w:rPr>
          <w:rFonts w:ascii="Arial" w:hAnsi="Arial" w:cs="Arial"/>
          <w:sz w:val="22"/>
          <w:szCs w:val="22"/>
        </w:rPr>
        <w:t>130/2002 Sb., o podpoře výzkumu, experimentálního vývoje a inovací z veřejných prostředků a o změně některých souvisejících zákonů (dále jen „zákon o podpoře výzkumu, experimentálního vývoje a inovací“)</w:t>
      </w:r>
      <w:r w:rsidR="00A92BF6" w:rsidRPr="009036A7">
        <w:rPr>
          <w:rFonts w:ascii="Arial" w:hAnsi="Arial" w:cs="Arial"/>
          <w:sz w:val="22"/>
          <w:szCs w:val="22"/>
        </w:rPr>
        <w:t xml:space="preserve">. </w:t>
      </w:r>
    </w:p>
    <w:p w14:paraId="58412D4E" w14:textId="4BBE691D" w:rsidR="00373AA5" w:rsidRDefault="00373AA5" w:rsidP="00373AA5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Předkládaná změna je</w:t>
      </w:r>
      <w:r w:rsidR="00847929" w:rsidRPr="009036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především v </w:t>
      </w:r>
      <w:r w:rsidR="009036A7" w:rsidRPr="009036A7">
        <w:rPr>
          <w:rFonts w:ascii="Arial" w:hAnsi="Arial" w:cs="Arial"/>
          <w:sz w:val="22"/>
          <w:szCs w:val="22"/>
        </w:rPr>
        <w:t>rozšíření</w:t>
      </w:r>
      <w:r>
        <w:rPr>
          <w:rFonts w:ascii="Arial" w:hAnsi="Arial" w:cs="Arial"/>
          <w:sz w:val="22"/>
          <w:szCs w:val="22"/>
        </w:rPr>
        <w:t xml:space="preserve"> Programu</w:t>
      </w:r>
      <w:r w:rsidR="009036A7" w:rsidRPr="009036A7">
        <w:rPr>
          <w:rFonts w:ascii="Arial" w:hAnsi="Arial" w:cs="Arial"/>
          <w:sz w:val="22"/>
          <w:szCs w:val="22"/>
        </w:rPr>
        <w:t xml:space="preserve"> o Podprogram 3</w:t>
      </w:r>
      <w:r>
        <w:rPr>
          <w:rFonts w:ascii="Arial" w:hAnsi="Arial" w:cs="Arial"/>
          <w:sz w:val="22"/>
          <w:szCs w:val="22"/>
        </w:rPr>
        <w:t>, který</w:t>
      </w:r>
      <w:r w:rsidRPr="00373AA5">
        <w:t xml:space="preserve"> </w:t>
      </w:r>
      <w:r w:rsidRPr="00373AA5">
        <w:rPr>
          <w:rFonts w:ascii="Arial" w:hAnsi="Arial" w:cs="Arial"/>
          <w:sz w:val="22"/>
          <w:szCs w:val="22"/>
        </w:rPr>
        <w:t>by měl umožnit aktivní zapojení českých výzkumných týmů do spolufinancovaných výzev vyhlašovaných v rámci evropských partnerství rámcového programu pro výzkum a inovace Horizontu Evropa</w:t>
      </w:r>
      <w:r>
        <w:rPr>
          <w:rFonts w:ascii="Arial" w:hAnsi="Arial" w:cs="Arial"/>
          <w:sz w:val="22"/>
          <w:szCs w:val="22"/>
        </w:rPr>
        <w:t>, a to zejména v 6 evropských partnerství:</w:t>
      </w:r>
      <w:r w:rsidRPr="00373AA5">
        <w:rPr>
          <w:rFonts w:ascii="Arial" w:hAnsi="Arial" w:cs="Arial"/>
          <w:sz w:val="22"/>
          <w:szCs w:val="22"/>
        </w:rPr>
        <w:t xml:space="preserve"> „ERA </w:t>
      </w:r>
      <w:proofErr w:type="spellStart"/>
      <w:r w:rsidRPr="00373AA5">
        <w:rPr>
          <w:rFonts w:ascii="Arial" w:hAnsi="Arial" w:cs="Arial"/>
          <w:sz w:val="22"/>
          <w:szCs w:val="22"/>
        </w:rPr>
        <w:t>fo</w:t>
      </w:r>
      <w:r w:rsidR="00B244F3">
        <w:rPr>
          <w:rFonts w:ascii="Arial" w:hAnsi="Arial" w:cs="Arial"/>
          <w:sz w:val="22"/>
          <w:szCs w:val="22"/>
        </w:rPr>
        <w:t>r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Health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Research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(ERA4Health)“, „</w:t>
      </w:r>
      <w:proofErr w:type="spellStart"/>
      <w:r w:rsidRPr="00373AA5">
        <w:rPr>
          <w:rFonts w:ascii="Arial" w:hAnsi="Arial" w:cs="Arial"/>
          <w:sz w:val="22"/>
          <w:szCs w:val="22"/>
        </w:rPr>
        <w:t>Transforming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Health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and Care Systems (THCS)“, „</w:t>
      </w:r>
      <w:proofErr w:type="spellStart"/>
      <w:r w:rsidRPr="00373AA5">
        <w:rPr>
          <w:rFonts w:ascii="Arial" w:hAnsi="Arial" w:cs="Arial"/>
          <w:sz w:val="22"/>
          <w:szCs w:val="22"/>
        </w:rPr>
        <w:t>Personalised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Medicine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373AA5">
        <w:rPr>
          <w:rFonts w:ascii="Arial" w:hAnsi="Arial" w:cs="Arial"/>
          <w:sz w:val="22"/>
          <w:szCs w:val="22"/>
        </w:rPr>
        <w:t>PerMed</w:t>
      </w:r>
      <w:proofErr w:type="spellEnd"/>
      <w:r w:rsidRPr="00373AA5">
        <w:rPr>
          <w:rFonts w:ascii="Arial" w:hAnsi="Arial" w:cs="Arial"/>
          <w:sz w:val="22"/>
          <w:szCs w:val="22"/>
        </w:rPr>
        <w:t>)“, „</w:t>
      </w:r>
      <w:proofErr w:type="spellStart"/>
      <w:r w:rsidRPr="00373AA5">
        <w:rPr>
          <w:rFonts w:ascii="Arial" w:hAnsi="Arial" w:cs="Arial"/>
          <w:sz w:val="22"/>
          <w:szCs w:val="22"/>
        </w:rPr>
        <w:t>Europena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Rare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Diseases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Alliance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(EDRDERA)“, „</w:t>
      </w:r>
      <w:proofErr w:type="spellStart"/>
      <w:r w:rsidRPr="00373AA5">
        <w:rPr>
          <w:rFonts w:ascii="Arial" w:hAnsi="Arial" w:cs="Arial"/>
          <w:sz w:val="22"/>
          <w:szCs w:val="22"/>
        </w:rPr>
        <w:t>One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Health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Antimicrobial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Resistance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(OH AMR)“ a „</w:t>
      </w:r>
      <w:proofErr w:type="spellStart"/>
      <w:r w:rsidRPr="00373AA5">
        <w:rPr>
          <w:rFonts w:ascii="Arial" w:hAnsi="Arial" w:cs="Arial"/>
          <w:sz w:val="22"/>
          <w:szCs w:val="22"/>
        </w:rPr>
        <w:t>Pandemic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3AA5">
        <w:rPr>
          <w:rFonts w:ascii="Arial" w:hAnsi="Arial" w:cs="Arial"/>
          <w:sz w:val="22"/>
          <w:szCs w:val="22"/>
        </w:rPr>
        <w:t>Preparedness</w:t>
      </w:r>
      <w:proofErr w:type="spellEnd"/>
      <w:r w:rsidRPr="00373AA5">
        <w:rPr>
          <w:rFonts w:ascii="Arial" w:hAnsi="Arial" w:cs="Arial"/>
          <w:sz w:val="22"/>
          <w:szCs w:val="22"/>
        </w:rPr>
        <w:t xml:space="preserve"> (BE-READY)“. </w:t>
      </w:r>
    </w:p>
    <w:p w14:paraId="503A61CB" w14:textId="28183DFD" w:rsidR="006F37FF" w:rsidRDefault="00373AA5" w:rsidP="006F37FF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373AA5">
        <w:rPr>
          <w:rFonts w:ascii="Arial" w:hAnsi="Arial" w:cs="Arial"/>
          <w:sz w:val="22"/>
          <w:szCs w:val="22"/>
        </w:rPr>
        <w:t>V rámci Podprogramu 3 je plánováno vyhlášení celkem 6 až 7 spolufinancovaných nadnárodních výzev s příspěvkem Evropské komise v rámci každého evropského partnerství. Nadnárodní výzvy budou s ohledem n</w:t>
      </w:r>
      <w:r w:rsidR="00FB3477">
        <w:rPr>
          <w:rFonts w:ascii="Arial" w:hAnsi="Arial" w:cs="Arial"/>
          <w:sz w:val="22"/>
          <w:szCs w:val="22"/>
        </w:rPr>
        <w:t>a přistoupení ČR v roce 2024 do </w:t>
      </w:r>
      <w:r w:rsidRPr="00373AA5">
        <w:rPr>
          <w:rFonts w:ascii="Arial" w:hAnsi="Arial" w:cs="Arial"/>
          <w:sz w:val="22"/>
          <w:szCs w:val="22"/>
        </w:rPr>
        <w:t>předmětných evropských partnerství dále vyhlašovány v roce 2024 se zahájením poskytování podpory v roce 2025. Celkové výdaje za dob</w:t>
      </w:r>
      <w:r w:rsidR="00FB3477">
        <w:rPr>
          <w:rFonts w:ascii="Arial" w:hAnsi="Arial" w:cs="Arial"/>
          <w:sz w:val="22"/>
          <w:szCs w:val="22"/>
        </w:rPr>
        <w:t>u trvání Podprogramu 3 v letech </w:t>
      </w:r>
      <w:r w:rsidRPr="00373AA5">
        <w:rPr>
          <w:rFonts w:ascii="Arial" w:hAnsi="Arial" w:cs="Arial"/>
          <w:sz w:val="22"/>
          <w:szCs w:val="22"/>
        </w:rPr>
        <w:t>2025 až 2030 (tj. období, ve kterém budou vyhlašovány spolufinancované nadnárodní výzvy k období trvání předmětných EP v obla</w:t>
      </w:r>
      <w:r w:rsidR="00FB3477">
        <w:rPr>
          <w:rFonts w:ascii="Arial" w:hAnsi="Arial" w:cs="Arial"/>
          <w:sz w:val="22"/>
          <w:szCs w:val="22"/>
        </w:rPr>
        <w:t>sti zdraví) se předpokládají ve </w:t>
      </w:r>
      <w:r w:rsidRPr="00373AA5">
        <w:rPr>
          <w:rFonts w:ascii="Arial" w:hAnsi="Arial" w:cs="Arial"/>
          <w:sz w:val="22"/>
          <w:szCs w:val="22"/>
        </w:rPr>
        <w:t xml:space="preserve">výši 337,5 mil. Kč z výdajů </w:t>
      </w:r>
      <w:r w:rsidR="006F37FF">
        <w:rPr>
          <w:rFonts w:ascii="Arial" w:hAnsi="Arial" w:cs="Arial"/>
          <w:sz w:val="22"/>
          <w:szCs w:val="22"/>
        </w:rPr>
        <w:t>na výzkum a vývoj z rozpočtové kapitoly Ministerstva zdravotnictví</w:t>
      </w:r>
      <w:r w:rsidR="006F37FF" w:rsidRPr="006F37FF">
        <w:rPr>
          <w:rFonts w:ascii="Arial" w:hAnsi="Arial" w:cs="Arial"/>
          <w:sz w:val="22"/>
          <w:szCs w:val="22"/>
        </w:rPr>
        <w:t xml:space="preserve"> a za doplňkového financování ze strany E</w:t>
      </w:r>
      <w:r w:rsidR="00FB3477">
        <w:rPr>
          <w:rFonts w:ascii="Arial" w:hAnsi="Arial" w:cs="Arial"/>
          <w:sz w:val="22"/>
          <w:szCs w:val="22"/>
        </w:rPr>
        <w:t>vropské komise</w:t>
      </w:r>
      <w:r w:rsidR="006F37FF" w:rsidRPr="006F37FF">
        <w:rPr>
          <w:rFonts w:ascii="Arial" w:hAnsi="Arial" w:cs="Arial"/>
          <w:sz w:val="22"/>
          <w:szCs w:val="22"/>
        </w:rPr>
        <w:t xml:space="preserve">. </w:t>
      </w:r>
    </w:p>
    <w:p w14:paraId="2FE9EEF8" w14:textId="10A6C972" w:rsidR="006F37FF" w:rsidRPr="009036A7" w:rsidRDefault="006F37FF" w:rsidP="006F37FF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F37FF">
        <w:rPr>
          <w:rFonts w:ascii="Arial" w:hAnsi="Arial" w:cs="Arial"/>
          <w:sz w:val="22"/>
          <w:szCs w:val="22"/>
        </w:rPr>
        <w:t xml:space="preserve">Předkládaný materiál má dopad na veřejné rozpočty a může vyvolat nároky na zvýšení výdajů státního rozpočtu na výzkum, vývoj a inovace. Podprogram 3 navrhuje meziroční zvyšování výdajů na výzkum a vývoj, neboť v případě vyšší národní rozpočtové alokace na jednotlivé nadnárodní spolufinancované výzvy by bylo umožněno podpořit vyšší počet českých projektů, které by uspěly v těchto výzvách, a tím by došlo k celkovému zvýšení úspěšnosti české výzkumné komunity v oblasti zdraví v rámcovém programu Horizontu Evropa. </w:t>
      </w:r>
    </w:p>
    <w:p w14:paraId="73725158" w14:textId="77777777" w:rsidR="00734EE9" w:rsidRPr="006F37FF" w:rsidRDefault="0026521D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6F37FF">
        <w:rPr>
          <w:rFonts w:ascii="Arial" w:hAnsi="Arial" w:cs="Arial"/>
          <w:b/>
          <w:color w:val="0070C0"/>
          <w:sz w:val="28"/>
          <w:szCs w:val="28"/>
        </w:rPr>
        <w:t xml:space="preserve">Vyjádření Komise </w:t>
      </w:r>
      <w:r w:rsidR="005257D1" w:rsidRPr="006F37FF">
        <w:rPr>
          <w:rFonts w:ascii="Arial" w:hAnsi="Arial" w:cs="Arial"/>
          <w:b/>
          <w:color w:val="0070C0"/>
          <w:sz w:val="28"/>
          <w:szCs w:val="28"/>
        </w:rPr>
        <w:t>pro ho</w:t>
      </w:r>
      <w:r w:rsidR="005116B5" w:rsidRPr="006F37FF"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="005257D1" w:rsidRPr="006F37FF">
        <w:rPr>
          <w:rFonts w:ascii="Arial" w:hAnsi="Arial" w:cs="Arial"/>
          <w:b/>
          <w:color w:val="0070C0"/>
          <w:sz w:val="28"/>
          <w:szCs w:val="28"/>
        </w:rPr>
        <w:t>ukončených programů</w:t>
      </w:r>
    </w:p>
    <w:p w14:paraId="54395A1A" w14:textId="34F979E0" w:rsidR="004C1047" w:rsidRDefault="0026521D" w:rsidP="006F37FF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Program byl podle Postupu Rady při hodnocení návrhů programů účelové podpory a skupin grant</w:t>
      </w:r>
      <w:r w:rsidR="00643852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ových projektů </w:t>
      </w:r>
      <w:r w:rsidR="0015414E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(</w:t>
      </w:r>
      <w:r w:rsidR="00643852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schváleném 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351. zasedání 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dne 29. listopadu 2019</w:t>
      </w:r>
      <w:r w:rsidR="0015414E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15414E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projednán</w:t>
      </w:r>
      <w:r w:rsidR="002C680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dne 4.</w:t>
      </w:r>
      <w:r w:rsidR="006F37FF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března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202</w:t>
      </w:r>
      <w:r w:rsidR="006F37FF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4</w:t>
      </w:r>
      <w:r w:rsidR="00106E81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Komis</w:t>
      </w:r>
      <w:r w:rsidR="0015414E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í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 ho</w:t>
      </w:r>
      <w:r w:rsidR="009E5DA7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dnocení výzkumných organizací a 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ukon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čených programů</w:t>
      </w:r>
      <w:r w:rsidR="0015414E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„KHV“)</w:t>
      </w:r>
      <w:r w:rsidR="00823255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2AC07277" w14:textId="60E6AB72" w:rsidR="005116B5" w:rsidRPr="006F37FF" w:rsidRDefault="00F73B69" w:rsidP="006F37FF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KHV ve svém vyjádření konstatuje</w:t>
      </w:r>
      <w:r w:rsidR="004D31CB" w:rsidRPr="006F37F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že</w:t>
      </w:r>
      <w:r w:rsidR="00FB347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změna Programu</w:t>
      </w:r>
      <w:r w:rsidRPr="00F73B69">
        <w:t xml:space="preserve"> </w:t>
      </w:r>
      <w:r w:rsidR="00FB3477">
        <w:t>(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přidání Podprogramu 3 z důvodu zapojení českých subjektů do evropských programů</w:t>
      </w:r>
      <w:r w:rsidR="00FB347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je smyslupln</w:t>
      </w:r>
      <w:r w:rsidR="00FB347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á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lze ji hodnotit pozitivně. Prostor pro zlepšení je nicméně u </w:t>
      </w:r>
      <w:r w:rsidR="00F15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ndikátorů cílů Podprogramu 3 (Tabulka č. 9 v 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upraveném </w:t>
      </w:r>
      <w:r w:rsidR="00F15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rogramu), kde se jako indikátor uvádí počet publikací typu </w:t>
      </w:r>
      <w:proofErr w:type="spellStart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Jimp</w:t>
      </w:r>
      <w:proofErr w:type="spellEnd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případně počet výsledků typu N, P, </w:t>
      </w:r>
      <w:proofErr w:type="spellStart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Jimp</w:t>
      </w:r>
      <w:proofErr w:type="spellEnd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Jak KHV opakovaně upozorňuje, pouhé počítání výstupů bez jakéhokoli rozlišení kvality není vhodný indikátor pro jakýkoliv program. Totéž platí pro indikátory Podprogramu 3 (Tabulka</w:t>
      </w:r>
      <w:r w:rsidR="00F15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č.</w:t>
      </w:r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10), které taktéž pouze počítají projekty a výsledky (</w:t>
      </w:r>
      <w:proofErr w:type="spellStart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Jimp</w:t>
      </w:r>
      <w:proofErr w:type="spellEnd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N, P). Indikátory pro Podprogramy 1 a 2 přitom explicitně řeší kvalitu, například podílem publikací v 1. </w:t>
      </w:r>
      <w:proofErr w:type="spellStart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kvartilu</w:t>
      </w:r>
      <w:proofErr w:type="spellEnd"/>
      <w:r w:rsidRPr="00F73B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počty ocenění pro mladé vědce. Taktéž v případě cíle „Pandemická připravenost“ by vhodným indikátorem bylo vytvoření pandemického plánu spíše než počty výsledků uplatněných v klinických doporučených postupech v ČR.</w:t>
      </w:r>
    </w:p>
    <w:p w14:paraId="33F406F0" w14:textId="77777777" w:rsidR="00BA3F02" w:rsidRPr="006F37FF" w:rsidRDefault="00BA3F02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6F37FF">
        <w:rPr>
          <w:rFonts w:ascii="Arial" w:hAnsi="Arial" w:cs="Arial"/>
          <w:b/>
          <w:color w:val="0070C0"/>
          <w:sz w:val="28"/>
          <w:szCs w:val="28"/>
        </w:rPr>
        <w:t>Hodnocení návrhu na změnu Programu Radou</w:t>
      </w:r>
    </w:p>
    <w:p w14:paraId="26DC6C78" w14:textId="77777777" w:rsidR="002B1A47" w:rsidRPr="006F37FF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357"/>
        <w:contextualSpacing w:val="0"/>
        <w:jc w:val="both"/>
        <w:rPr>
          <w:rFonts w:ascii="Arial" w:hAnsi="Arial" w:cs="Arial"/>
        </w:rPr>
      </w:pPr>
      <w:r w:rsidRPr="006F37FF">
        <w:rPr>
          <w:rFonts w:ascii="Arial" w:hAnsi="Arial" w:cs="Arial"/>
        </w:rPr>
        <w:t xml:space="preserve">Program je v souladu s Národní politikou výzkumu, vývoje a </w:t>
      </w:r>
      <w:r w:rsidR="00D2180B" w:rsidRPr="006F37FF">
        <w:rPr>
          <w:rFonts w:ascii="Arial" w:hAnsi="Arial" w:cs="Arial"/>
        </w:rPr>
        <w:t>inovací České republiky 2021+.</w:t>
      </w:r>
      <w:r w:rsidRPr="006F37FF">
        <w:rPr>
          <w:rFonts w:ascii="Arial" w:hAnsi="Arial" w:cs="Arial"/>
        </w:rPr>
        <w:t xml:space="preserve"> </w:t>
      </w:r>
    </w:p>
    <w:p w14:paraId="7139F7E1" w14:textId="66AF7527" w:rsidR="00BF1715" w:rsidRPr="002C22C2" w:rsidRDefault="002B1A47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contextualSpacing w:val="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2C22C2">
        <w:rPr>
          <w:rFonts w:ascii="Arial" w:hAnsi="Arial" w:cs="Arial"/>
          <w:b/>
          <w:color w:val="0070C0"/>
          <w:sz w:val="28"/>
          <w:szCs w:val="28"/>
        </w:rPr>
        <w:t>P</w:t>
      </w:r>
      <w:r w:rsidR="00713576" w:rsidRPr="002C22C2">
        <w:rPr>
          <w:rFonts w:ascii="Arial" w:hAnsi="Arial" w:cs="Arial"/>
          <w:b/>
          <w:color w:val="0070C0"/>
          <w:sz w:val="28"/>
          <w:szCs w:val="28"/>
        </w:rPr>
        <w:t>řipomínky</w:t>
      </w:r>
      <w:r w:rsidRPr="002C22C2">
        <w:rPr>
          <w:rFonts w:ascii="Arial" w:hAnsi="Arial" w:cs="Arial"/>
          <w:b/>
          <w:color w:val="0070C0"/>
          <w:sz w:val="28"/>
          <w:szCs w:val="28"/>
        </w:rPr>
        <w:t xml:space="preserve"> Rady</w:t>
      </w:r>
    </w:p>
    <w:p w14:paraId="344A0B8F" w14:textId="5566DD76" w:rsidR="005A003C" w:rsidRPr="00D4493C" w:rsidRDefault="005A003C" w:rsidP="0015414E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D4493C">
        <w:rPr>
          <w:rFonts w:ascii="Arial" w:hAnsi="Arial" w:cs="Arial"/>
          <w:b/>
          <w:sz w:val="22"/>
          <w:szCs w:val="22"/>
        </w:rPr>
        <w:t>Zásadní připomínka:</w:t>
      </w:r>
    </w:p>
    <w:p w14:paraId="2BAFA0B4" w14:textId="77777777" w:rsidR="00A04B83" w:rsidRDefault="00B244F3" w:rsidP="00A04B83">
      <w:pPr>
        <w:pStyle w:val="Odstavecseseznamem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04B83">
        <w:rPr>
          <w:rFonts w:ascii="Arial" w:hAnsi="Arial" w:cs="Arial"/>
          <w:sz w:val="22"/>
          <w:szCs w:val="22"/>
        </w:rPr>
        <w:t>Rada žádá o nepoužívání pojmu „národní veřejná soutěž“, jelikož tento pojem není v souladu se zákonem č. 130/2002 Sb., o podpoře výzkumu, experimentálního vývoje a inovací z veřejných prostředků</w:t>
      </w:r>
      <w:r w:rsidR="00D4493C" w:rsidRPr="00A04B83">
        <w:rPr>
          <w:rFonts w:ascii="Arial" w:hAnsi="Arial" w:cs="Arial"/>
          <w:sz w:val="22"/>
          <w:szCs w:val="22"/>
        </w:rPr>
        <w:t>.</w:t>
      </w:r>
    </w:p>
    <w:p w14:paraId="3E166EF8" w14:textId="60E0D09A" w:rsidR="00A662B0" w:rsidRPr="00A04B83" w:rsidRDefault="00A662B0" w:rsidP="00A04B83">
      <w:pPr>
        <w:pStyle w:val="Odstavecseseznamem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04B83">
        <w:rPr>
          <w:rFonts w:ascii="Arial" w:hAnsi="Arial" w:cs="Arial"/>
          <w:sz w:val="22"/>
          <w:szCs w:val="22"/>
        </w:rPr>
        <w:t>K financování programu:</w:t>
      </w:r>
    </w:p>
    <w:p w14:paraId="7DAC064B" w14:textId="3D559A59" w:rsidR="00A662B0" w:rsidRDefault="00A662B0" w:rsidP="00A662B0">
      <w:pPr>
        <w:spacing w:after="120"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Schválením nového podprogramu dojde k navýšení celkových výdajů na </w:t>
      </w:r>
      <w:r w:rsidR="00F15D94">
        <w:rPr>
          <w:rFonts w:ascii="Arial" w:hAnsi="Arial" w:cs="Arial"/>
          <w:sz w:val="22"/>
          <w:szCs w:val="22"/>
        </w:rPr>
        <w:t>Program ze </w:t>
      </w:r>
      <w:r>
        <w:rPr>
          <w:rFonts w:ascii="Arial" w:hAnsi="Arial" w:cs="Arial"/>
          <w:sz w:val="22"/>
          <w:szCs w:val="22"/>
        </w:rPr>
        <w:t>státního rozpočtu v období 2025</w:t>
      </w:r>
      <w:r w:rsidR="00F15D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 w:rsidR="00F15D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2030 (tj. období, ve kterém budou vyhlašovány spolufinancované nadnárodní výzvy k období trvání předmětných Evropských partnerství) o 337,5 mil. Kč. Nově jsou navrhovány následující alokace celkových výdajů na program</w:t>
      </w:r>
      <w:r w:rsidR="00F15D94">
        <w:rPr>
          <w:rFonts w:ascii="Arial" w:hAnsi="Arial" w:cs="Arial"/>
          <w:sz w:val="22"/>
          <w:szCs w:val="22"/>
        </w:rPr>
        <w:t xml:space="preserve"> [mil. Kč]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0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7"/>
        <w:gridCol w:w="907"/>
        <w:gridCol w:w="907"/>
        <w:gridCol w:w="907"/>
        <w:gridCol w:w="907"/>
        <w:gridCol w:w="907"/>
        <w:gridCol w:w="907"/>
        <w:gridCol w:w="992"/>
      </w:tblGrid>
      <w:tr w:rsidR="00A662B0" w14:paraId="0A2E3196" w14:textId="77777777" w:rsidTr="006E37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B7A6228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1147C90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9FB6698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C9BBD98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DC54B1B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4DF314F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1739020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96CC8BC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D5D951B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22C2">
              <w:rPr>
                <w:rFonts w:ascii="Arial" w:hAnsi="Arial" w:cs="Arial"/>
                <w:b/>
                <w:sz w:val="20"/>
                <w:szCs w:val="20"/>
              </w:rPr>
              <w:t>celkem</w:t>
            </w:r>
          </w:p>
        </w:tc>
      </w:tr>
      <w:tr w:rsidR="00A662B0" w14:paraId="08D5FDB2" w14:textId="77777777" w:rsidTr="006E37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F5E0" w14:textId="77777777" w:rsidR="00A662B0" w:rsidRPr="002C22C2" w:rsidRDefault="00A662B0" w:rsidP="006E3782">
            <w:pPr>
              <w:spacing w:before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5568F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69108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694A9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1C613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1505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8A6F6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1230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A16F7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AFD547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5CC93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6387,5</w:t>
            </w:r>
          </w:p>
        </w:tc>
      </w:tr>
      <w:tr w:rsidR="00A662B0" w14:paraId="2BFA797C" w14:textId="77777777" w:rsidTr="006E37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446C" w14:textId="77777777" w:rsidR="00A662B0" w:rsidRPr="002C22C2" w:rsidRDefault="00A662B0" w:rsidP="006E3782">
            <w:pPr>
              <w:spacing w:before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Výdaje ze SR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A3E5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7F07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0CAE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1125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4095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1375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7803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1125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C36F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69F1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387,5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1CB1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5837,5</w:t>
            </w:r>
          </w:p>
        </w:tc>
      </w:tr>
      <w:tr w:rsidR="00A662B0" w14:paraId="1AA7E4E3" w14:textId="77777777" w:rsidTr="006E378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52F4" w14:textId="77777777" w:rsidR="00A662B0" w:rsidRPr="002C22C2" w:rsidRDefault="00A662B0" w:rsidP="006E3782">
            <w:pPr>
              <w:spacing w:before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 xml:space="preserve">Neveřejné </w:t>
            </w:r>
            <w:proofErr w:type="spellStart"/>
            <w:r w:rsidRPr="002C22C2">
              <w:rPr>
                <w:rFonts w:ascii="Arial" w:hAnsi="Arial" w:cs="Arial"/>
                <w:sz w:val="20"/>
                <w:szCs w:val="20"/>
              </w:rPr>
              <w:t>zdr</w:t>
            </w:r>
            <w:proofErr w:type="spellEnd"/>
            <w:r w:rsidRPr="002C22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22A5D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015D0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1B935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B0EC8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2D10B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A6A49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C63CF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DEE9E" w14:textId="77777777" w:rsidR="00A662B0" w:rsidRPr="002C22C2" w:rsidRDefault="00A662B0" w:rsidP="006E3782">
            <w:pPr>
              <w:spacing w:before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2C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</w:tbl>
    <w:p w14:paraId="3604A8DD" w14:textId="77777777" w:rsidR="00A662B0" w:rsidRPr="002222A2" w:rsidRDefault="00A662B0" w:rsidP="00A662B0">
      <w:pPr>
        <w:spacing w:before="60" w:after="60"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44C49CE" w14:textId="77777777" w:rsidR="00A04B83" w:rsidRDefault="00A662B0" w:rsidP="00A04B83">
      <w:pPr>
        <w:spacing w:before="60" w:after="6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Rada upozorňuje, že v</w:t>
      </w:r>
      <w:r w:rsidRPr="002222A2">
        <w:rPr>
          <w:rFonts w:ascii="Arial" w:hAnsi="Arial" w:cs="Arial"/>
          <w:color w:val="000000"/>
          <w:sz w:val="22"/>
          <w:szCs w:val="22"/>
          <w:shd w:val="clear" w:color="auto" w:fill="FFFFFF"/>
        </w:rPr>
        <w:t>zhlede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 k tomu, že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MZd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plánuje vyhlásit nadnárodní výzvy již v roce 2024 s počátkem financování od roku 2025,</w:t>
      </w:r>
      <w:r w:rsidR="00F15D9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existuje riziko, že nedojde ke 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včasnému schválení změny Programu vládou tak, aby mohlo být navýšení Programu zahrnuto do návrhu výdajů na VaVaI na rok 2025, který je v současné době Radou připravován. Dle platného střednědobého výhledu má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MZd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schváleny výdaje na Program na rok 2025 ve výši 745,7 mil. Kč, tedy by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MZd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chybělo cca 30 mil. Kč. Rada požaduje informaci, jak 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MZd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plánuje finančně pokrýt výdaje v novém podprogramu v roce 2025 v případě, že změna Programu nebude vládou schválena v dostatečném časovém předstihu před schválením finálního náv</w:t>
      </w:r>
      <w:r w:rsidR="00A04B83">
        <w:rPr>
          <w:rFonts w:ascii="Arial" w:hAnsi="Arial" w:cs="Arial"/>
          <w:color w:val="000000"/>
          <w:sz w:val="22"/>
          <w:szCs w:val="22"/>
          <w:shd w:val="clear" w:color="auto" w:fill="FFFFFF"/>
        </w:rPr>
        <w:t>rhu výdajů na VaVaI na rok 2025.</w:t>
      </w:r>
    </w:p>
    <w:p w14:paraId="68B13F65" w14:textId="77777777" w:rsidR="00A04B83" w:rsidRDefault="00A662B0" w:rsidP="00A04B83">
      <w:pPr>
        <w:spacing w:before="60" w:after="6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Rada dále </w:t>
      </w:r>
      <w:r w:rsidRPr="00321A0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upozorňuje, že </w:t>
      </w:r>
      <w:r w:rsidRPr="002222A2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schválení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změny </w:t>
      </w:r>
      <w:r w:rsidRPr="002222A2">
        <w:rPr>
          <w:rFonts w:ascii="Arial" w:eastAsiaTheme="minorHAnsi" w:hAnsi="Arial" w:cs="Arial"/>
          <w:bCs/>
          <w:sz w:val="22"/>
          <w:szCs w:val="22"/>
          <w:lang w:eastAsia="en-US"/>
        </w:rPr>
        <w:t>Programu vládou nezakládá automaticky nárok na jeho financování ze státního rozpočtu v objemech navržených v Programu. Financování Programu bude zajištěno dle možností státního rozpočtu.</w:t>
      </w:r>
    </w:p>
    <w:p w14:paraId="0AC0143C" w14:textId="70C7635D" w:rsidR="00A04B83" w:rsidRDefault="00A04B83" w:rsidP="00155724">
      <w:pPr>
        <w:pStyle w:val="Odstavecseseznamem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04B83">
        <w:rPr>
          <w:rFonts w:ascii="Arial" w:hAnsi="Arial" w:cs="Arial"/>
          <w:sz w:val="22"/>
          <w:szCs w:val="22"/>
        </w:rPr>
        <w:t xml:space="preserve">Rada žádá vysvětlení, jakým způsobem bude řešeno předfinancování ve vztahu k Evropské komisi, aby v národních zdrojích nebyl duplicitně </w:t>
      </w:r>
      <w:proofErr w:type="spellStart"/>
      <w:r w:rsidRPr="00A04B83">
        <w:rPr>
          <w:rFonts w:ascii="Arial" w:hAnsi="Arial" w:cs="Arial"/>
          <w:sz w:val="22"/>
          <w:szCs w:val="22"/>
        </w:rPr>
        <w:t>narozpočtován</w:t>
      </w:r>
      <w:proofErr w:type="spellEnd"/>
      <w:r w:rsidRPr="00A04B83">
        <w:rPr>
          <w:rFonts w:ascii="Arial" w:hAnsi="Arial" w:cs="Arial"/>
          <w:sz w:val="22"/>
          <w:szCs w:val="22"/>
        </w:rPr>
        <w:t xml:space="preserve"> příspěvek </w:t>
      </w:r>
      <w:r w:rsidRPr="00A04B83">
        <w:rPr>
          <w:rFonts w:ascii="Arial" w:hAnsi="Arial" w:cs="Arial"/>
          <w:sz w:val="22"/>
          <w:szCs w:val="22"/>
        </w:rPr>
        <w:lastRenderedPageBreak/>
        <w:t>z Evropských zdrojů.</w:t>
      </w:r>
      <w:r w:rsidR="00155724">
        <w:rPr>
          <w:rFonts w:ascii="Arial" w:hAnsi="Arial" w:cs="Arial"/>
          <w:sz w:val="22"/>
          <w:szCs w:val="22"/>
        </w:rPr>
        <w:t xml:space="preserve"> Případně Rada požaduje v této souvislosti upravit/doplnit tabulku „</w:t>
      </w:r>
      <w:r w:rsidR="00155724" w:rsidRPr="00155724">
        <w:rPr>
          <w:rFonts w:ascii="Arial" w:hAnsi="Arial" w:cs="Arial"/>
          <w:i/>
          <w:sz w:val="22"/>
          <w:szCs w:val="22"/>
        </w:rPr>
        <w:t>Tab. </w:t>
      </w:r>
      <w:proofErr w:type="gramStart"/>
      <w:r w:rsidR="00155724" w:rsidRPr="00155724">
        <w:rPr>
          <w:rFonts w:ascii="Arial" w:hAnsi="Arial" w:cs="Arial"/>
          <w:i/>
          <w:sz w:val="22"/>
          <w:szCs w:val="22"/>
        </w:rPr>
        <w:t>č.</w:t>
      </w:r>
      <w:proofErr w:type="gramEnd"/>
      <w:r w:rsidR="00155724" w:rsidRPr="00155724">
        <w:rPr>
          <w:rFonts w:ascii="Arial" w:hAnsi="Arial" w:cs="Arial"/>
          <w:i/>
          <w:sz w:val="22"/>
          <w:szCs w:val="22"/>
        </w:rPr>
        <w:t> 8: Výdaje na Podprogram 3</w:t>
      </w:r>
      <w:r w:rsidR="00155724">
        <w:rPr>
          <w:rFonts w:ascii="Arial" w:hAnsi="Arial" w:cs="Arial"/>
          <w:i/>
          <w:sz w:val="22"/>
          <w:szCs w:val="22"/>
        </w:rPr>
        <w:t>“</w:t>
      </w:r>
      <w:r w:rsidR="00155724">
        <w:rPr>
          <w:rFonts w:ascii="Arial" w:hAnsi="Arial" w:cs="Arial"/>
          <w:sz w:val="22"/>
          <w:szCs w:val="22"/>
        </w:rPr>
        <w:t xml:space="preserve"> v návrhu změny Programu.</w:t>
      </w:r>
    </w:p>
    <w:p w14:paraId="2C3BE018" w14:textId="1DB837E7" w:rsidR="00C364F5" w:rsidRPr="00A04B83" w:rsidRDefault="00C364F5" w:rsidP="00C364F5">
      <w:pPr>
        <w:pStyle w:val="Odstavecseseznamem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Rada žádá Ministerstvo zdravotnictví, aby před předložením změny Programu do meziresortního připomínkového řízení projednalo </w:t>
      </w:r>
      <w:r w:rsidRPr="00C364F5">
        <w:rPr>
          <w:rFonts w:ascii="Arial" w:hAnsi="Arial" w:cs="Arial"/>
          <w:sz w:val="22"/>
          <w:szCs w:val="22"/>
        </w:rPr>
        <w:t xml:space="preserve">rozšíření </w:t>
      </w:r>
      <w:r>
        <w:rPr>
          <w:rFonts w:ascii="Arial" w:hAnsi="Arial" w:cs="Arial"/>
          <w:sz w:val="22"/>
          <w:szCs w:val="22"/>
        </w:rPr>
        <w:t xml:space="preserve">Programu </w:t>
      </w:r>
      <w:r w:rsidRPr="00C364F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C364F5">
        <w:rPr>
          <w:rFonts w:ascii="Arial" w:hAnsi="Arial" w:cs="Arial"/>
          <w:sz w:val="22"/>
          <w:szCs w:val="22"/>
        </w:rPr>
        <w:t>Podprogram 3 - „Evropská partnerství v oblasti zdraví“</w:t>
      </w:r>
      <w:r>
        <w:rPr>
          <w:rFonts w:ascii="Arial" w:hAnsi="Arial" w:cs="Arial"/>
          <w:sz w:val="22"/>
          <w:szCs w:val="22"/>
        </w:rPr>
        <w:t xml:space="preserve"> s Ministerstvem školství, mládeže a tělovýchovy, a to v návaznosti na </w:t>
      </w:r>
      <w:r w:rsidRPr="00C364F5">
        <w:rPr>
          <w:rFonts w:ascii="Arial" w:hAnsi="Arial" w:cs="Arial"/>
          <w:sz w:val="22"/>
          <w:szCs w:val="22"/>
        </w:rPr>
        <w:t xml:space="preserve">ustanovení § 33 odst. 2 písm. a) </w:t>
      </w:r>
      <w:r>
        <w:rPr>
          <w:rFonts w:ascii="Arial" w:hAnsi="Arial" w:cs="Arial"/>
          <w:sz w:val="22"/>
          <w:szCs w:val="22"/>
        </w:rPr>
        <w:t>zákona o </w:t>
      </w:r>
      <w:r w:rsidRPr="00C364F5">
        <w:rPr>
          <w:rFonts w:ascii="Arial" w:hAnsi="Arial" w:cs="Arial"/>
          <w:sz w:val="22"/>
          <w:szCs w:val="22"/>
        </w:rPr>
        <w:t>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 </w:t>
      </w:r>
      <w:r w:rsidR="00CF1C13">
        <w:rPr>
          <w:rFonts w:ascii="Arial" w:hAnsi="Arial" w:cs="Arial"/>
          <w:sz w:val="22"/>
          <w:szCs w:val="22"/>
        </w:rPr>
        <w:t>za účelem</w:t>
      </w:r>
      <w:r>
        <w:rPr>
          <w:rFonts w:ascii="Arial" w:hAnsi="Arial" w:cs="Arial"/>
          <w:sz w:val="22"/>
          <w:szCs w:val="22"/>
        </w:rPr>
        <w:t xml:space="preserve"> </w:t>
      </w:r>
      <w:r w:rsidRPr="00C364F5">
        <w:rPr>
          <w:rFonts w:ascii="Arial" w:hAnsi="Arial" w:cs="Arial"/>
          <w:sz w:val="22"/>
          <w:szCs w:val="22"/>
        </w:rPr>
        <w:t>národní koordinac</w:t>
      </w:r>
      <w:r w:rsidR="00CF1C13">
        <w:rPr>
          <w:rFonts w:ascii="Arial" w:hAnsi="Arial" w:cs="Arial"/>
          <w:sz w:val="22"/>
          <w:szCs w:val="22"/>
        </w:rPr>
        <w:t>e</w:t>
      </w:r>
      <w:r w:rsidRPr="00C364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navrhované mezinárodní</w:t>
      </w:r>
      <w:r w:rsidRPr="00C364F5">
        <w:rPr>
          <w:rFonts w:ascii="Arial" w:hAnsi="Arial" w:cs="Arial"/>
          <w:sz w:val="22"/>
          <w:szCs w:val="22"/>
        </w:rPr>
        <w:t xml:space="preserve"> spolupráce a k vyloučení možných překryvů</w:t>
      </w:r>
      <w:r>
        <w:rPr>
          <w:rFonts w:ascii="Arial" w:hAnsi="Arial" w:cs="Arial"/>
          <w:sz w:val="22"/>
          <w:szCs w:val="22"/>
        </w:rPr>
        <w:t xml:space="preserve"> s jinými</w:t>
      </w:r>
      <w:r w:rsidRPr="00C364F5">
        <w:rPr>
          <w:rFonts w:ascii="Arial" w:hAnsi="Arial" w:cs="Arial"/>
          <w:sz w:val="22"/>
          <w:szCs w:val="22"/>
        </w:rPr>
        <w:t xml:space="preserve"> programy mezinárodní spolupráce</w:t>
      </w:r>
      <w:r>
        <w:rPr>
          <w:rFonts w:ascii="Arial" w:hAnsi="Arial" w:cs="Arial"/>
          <w:sz w:val="22"/>
          <w:szCs w:val="22"/>
        </w:rPr>
        <w:t>.</w:t>
      </w:r>
    </w:p>
    <w:p w14:paraId="546F0DFF" w14:textId="77777777" w:rsidR="002C22C2" w:rsidRDefault="002C22C2" w:rsidP="002C22C2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14:paraId="1F5F3642" w14:textId="3EFEEA4B" w:rsidR="002C22C2" w:rsidRPr="00D4493C" w:rsidRDefault="002C22C2" w:rsidP="002C22C2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D4493C">
        <w:rPr>
          <w:rFonts w:ascii="Arial" w:hAnsi="Arial" w:cs="Arial"/>
          <w:b/>
          <w:sz w:val="22"/>
          <w:szCs w:val="22"/>
        </w:rPr>
        <w:t>Doporučující připomínky</w:t>
      </w:r>
      <w:r>
        <w:rPr>
          <w:rFonts w:ascii="Arial" w:hAnsi="Arial" w:cs="Arial"/>
          <w:b/>
          <w:sz w:val="22"/>
          <w:szCs w:val="22"/>
        </w:rPr>
        <w:t>:</w:t>
      </w:r>
    </w:p>
    <w:p w14:paraId="22B15586" w14:textId="77777777" w:rsidR="002C22C2" w:rsidRPr="00D4493C" w:rsidRDefault="002C22C2" w:rsidP="002C22C2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4493C">
        <w:rPr>
          <w:rFonts w:ascii="Arial" w:hAnsi="Arial" w:cs="Arial"/>
          <w:sz w:val="22"/>
          <w:szCs w:val="22"/>
        </w:rPr>
        <w:t>Rada doporučuje upravit název předkládaného materiálu na jednání vlády na „Návrh na změnu Programu na podporu zdravotnického aplikovaného výzkumu na léta 2024 – 2030“ a sjednotit tento název ve všech dokumentech. Aktuálně se v rámci předložených dokumentů vyskytují různé modifikace názvu.</w:t>
      </w:r>
    </w:p>
    <w:p w14:paraId="082ABD77" w14:textId="77777777" w:rsidR="002C22C2" w:rsidRPr="00D4493C" w:rsidRDefault="002C22C2" w:rsidP="002C22C2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4493C">
        <w:rPr>
          <w:rFonts w:ascii="Arial" w:hAnsi="Arial" w:cs="Arial"/>
          <w:sz w:val="22"/>
          <w:szCs w:val="22"/>
        </w:rPr>
        <w:t>Rada doporučuje formální kontrolu všech dokumentů, např. v dokumentu „návrh usnesení“ jsou použity různé styly a velikosti písma.</w:t>
      </w:r>
    </w:p>
    <w:p w14:paraId="6AB33227" w14:textId="77777777" w:rsidR="002C22C2" w:rsidRDefault="002C22C2" w:rsidP="002C22C2">
      <w:pPr>
        <w:pStyle w:val="Odstavecseseznamem"/>
        <w:numPr>
          <w:ilvl w:val="0"/>
          <w:numId w:val="26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4493C">
        <w:rPr>
          <w:rFonts w:ascii="Arial" w:hAnsi="Arial" w:cs="Arial"/>
          <w:sz w:val="22"/>
          <w:szCs w:val="22"/>
        </w:rPr>
        <w:t>Rada doporučuje předložení návrhu Programu na jednání</w:t>
      </w:r>
      <w:r>
        <w:rPr>
          <w:rFonts w:ascii="Arial" w:hAnsi="Arial" w:cs="Arial"/>
          <w:sz w:val="22"/>
          <w:szCs w:val="22"/>
        </w:rPr>
        <w:t xml:space="preserve"> vlády</w:t>
      </w:r>
      <w:r w:rsidRPr="00D4493C">
        <w:rPr>
          <w:rFonts w:ascii="Arial" w:hAnsi="Arial" w:cs="Arial"/>
          <w:sz w:val="22"/>
          <w:szCs w:val="22"/>
        </w:rPr>
        <w:t xml:space="preserve"> v čistopise, přičemž změnová verze může být přílohou materiálu předkládaného vládě.</w:t>
      </w:r>
    </w:p>
    <w:p w14:paraId="7843D469" w14:textId="51890C0F" w:rsidR="00B244F3" w:rsidRDefault="00B244F3" w:rsidP="00A662B0">
      <w:pPr>
        <w:spacing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D54B4C5" w14:textId="48A3EFFE" w:rsidR="004D31CB" w:rsidRPr="00625550" w:rsidRDefault="00BF1715" w:rsidP="0015414E">
      <w:pPr>
        <w:spacing w:after="120" w:line="276" w:lineRule="auto"/>
        <w:ind w:left="426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625550">
        <w:rPr>
          <w:rFonts w:ascii="Arial" w:hAnsi="Arial" w:cs="Arial"/>
          <w:b/>
          <w:color w:val="0070C0"/>
          <w:sz w:val="28"/>
          <w:szCs w:val="28"/>
        </w:rPr>
        <w:t>Závěr</w:t>
      </w:r>
    </w:p>
    <w:p w14:paraId="47E5AABE" w14:textId="3656DA95" w:rsidR="00713576" w:rsidRPr="00625550" w:rsidRDefault="00017DD9" w:rsidP="00CB0DF6">
      <w:pPr>
        <w:spacing w:after="24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25550">
        <w:rPr>
          <w:rFonts w:ascii="Arial" w:hAnsi="Arial" w:cs="Arial"/>
          <w:sz w:val="22"/>
          <w:szCs w:val="22"/>
        </w:rPr>
        <w:t>Rada schvaluje</w:t>
      </w:r>
      <w:r w:rsidR="00EE6075" w:rsidRPr="00625550">
        <w:rPr>
          <w:rFonts w:ascii="Arial" w:hAnsi="Arial" w:cs="Arial"/>
          <w:sz w:val="22"/>
          <w:szCs w:val="22"/>
        </w:rPr>
        <w:t xml:space="preserve"> Stanovisko k </w:t>
      </w:r>
      <w:r w:rsidR="008F0E2E" w:rsidRPr="008F0E2E">
        <w:rPr>
          <w:rFonts w:ascii="Arial" w:hAnsi="Arial" w:cs="Arial"/>
          <w:sz w:val="22"/>
          <w:szCs w:val="22"/>
        </w:rPr>
        <w:t>„Návrh</w:t>
      </w:r>
      <w:r w:rsidR="008F0E2E">
        <w:rPr>
          <w:rFonts w:ascii="Arial" w:hAnsi="Arial" w:cs="Arial"/>
          <w:sz w:val="22"/>
          <w:szCs w:val="22"/>
        </w:rPr>
        <w:t>u</w:t>
      </w:r>
      <w:r w:rsidR="008F0E2E" w:rsidRPr="008F0E2E">
        <w:rPr>
          <w:rFonts w:ascii="Arial" w:hAnsi="Arial" w:cs="Arial"/>
          <w:sz w:val="22"/>
          <w:szCs w:val="22"/>
        </w:rPr>
        <w:t xml:space="preserve"> na změnu Programu na podporu zdravotnického aplikovaného výzkumu na léta 2024 – 2030“</w:t>
      </w:r>
      <w:r w:rsidR="004D30DC" w:rsidRPr="00625550">
        <w:rPr>
          <w:rFonts w:ascii="Arial" w:hAnsi="Arial" w:cs="Arial"/>
          <w:sz w:val="22"/>
          <w:szCs w:val="22"/>
        </w:rPr>
        <w:t xml:space="preserve"> </w:t>
      </w:r>
      <w:r w:rsidR="00F250BE" w:rsidRPr="00625550">
        <w:rPr>
          <w:rFonts w:ascii="Arial" w:hAnsi="Arial" w:cs="Arial"/>
          <w:sz w:val="22"/>
          <w:szCs w:val="22"/>
        </w:rPr>
        <w:t>a žádá poskytovatele o</w:t>
      </w:r>
      <w:r w:rsidR="00426530" w:rsidRPr="00625550">
        <w:rPr>
          <w:rFonts w:ascii="Arial" w:hAnsi="Arial" w:cs="Arial"/>
          <w:sz w:val="22"/>
          <w:szCs w:val="22"/>
        </w:rPr>
        <w:t> </w:t>
      </w:r>
      <w:r w:rsidR="00CB0DF6" w:rsidRPr="00625550">
        <w:rPr>
          <w:rFonts w:ascii="Arial" w:hAnsi="Arial" w:cs="Arial"/>
          <w:sz w:val="22"/>
          <w:szCs w:val="22"/>
        </w:rPr>
        <w:t xml:space="preserve"> reflektování </w:t>
      </w:r>
      <w:r w:rsidR="005A003C" w:rsidRPr="00625550">
        <w:rPr>
          <w:rFonts w:ascii="Arial" w:hAnsi="Arial" w:cs="Arial"/>
          <w:sz w:val="22"/>
          <w:szCs w:val="22"/>
        </w:rPr>
        <w:t>vyjádření KHV, zapracování připomín</w:t>
      </w:r>
      <w:r w:rsidR="00F15D94">
        <w:rPr>
          <w:rFonts w:ascii="Arial" w:hAnsi="Arial" w:cs="Arial"/>
          <w:sz w:val="22"/>
          <w:szCs w:val="22"/>
        </w:rPr>
        <w:t>ek</w:t>
      </w:r>
      <w:r w:rsidR="005A003C" w:rsidRPr="00625550">
        <w:rPr>
          <w:rFonts w:ascii="Arial" w:hAnsi="Arial" w:cs="Arial"/>
          <w:sz w:val="22"/>
          <w:szCs w:val="22"/>
        </w:rPr>
        <w:t xml:space="preserve"> Rady a </w:t>
      </w:r>
      <w:r w:rsidR="00F02A1A" w:rsidRPr="00625550">
        <w:rPr>
          <w:rFonts w:ascii="Arial" w:hAnsi="Arial" w:cs="Arial"/>
          <w:sz w:val="22"/>
          <w:szCs w:val="22"/>
        </w:rPr>
        <w:t xml:space="preserve">zaslání </w:t>
      </w:r>
      <w:r w:rsidR="005A003C" w:rsidRPr="00625550">
        <w:rPr>
          <w:rFonts w:ascii="Arial" w:hAnsi="Arial" w:cs="Arial"/>
          <w:sz w:val="22"/>
          <w:szCs w:val="22"/>
        </w:rPr>
        <w:t xml:space="preserve">vypořádání </w:t>
      </w:r>
      <w:r w:rsidR="00F02A1A" w:rsidRPr="00625550">
        <w:rPr>
          <w:rFonts w:ascii="Arial" w:hAnsi="Arial" w:cs="Arial"/>
          <w:sz w:val="22"/>
          <w:szCs w:val="22"/>
        </w:rPr>
        <w:t>připomí</w:t>
      </w:r>
      <w:r w:rsidR="00F15D94">
        <w:rPr>
          <w:rFonts w:ascii="Arial" w:hAnsi="Arial" w:cs="Arial"/>
          <w:sz w:val="22"/>
          <w:szCs w:val="22"/>
        </w:rPr>
        <w:t>nek</w:t>
      </w:r>
      <w:r w:rsidR="00F02A1A" w:rsidRPr="00625550">
        <w:rPr>
          <w:rFonts w:ascii="Arial" w:hAnsi="Arial" w:cs="Arial"/>
          <w:sz w:val="22"/>
          <w:szCs w:val="22"/>
        </w:rPr>
        <w:t xml:space="preserve"> Rady </w:t>
      </w:r>
      <w:r w:rsidR="005A003C" w:rsidRPr="00625550">
        <w:rPr>
          <w:rFonts w:ascii="Arial" w:hAnsi="Arial" w:cs="Arial"/>
          <w:sz w:val="22"/>
          <w:szCs w:val="22"/>
        </w:rPr>
        <w:t>před předložením návrhu na změnu Programu do meziresortního připomínkového řízení</w:t>
      </w:r>
      <w:r w:rsidR="00E32145" w:rsidRPr="00625550">
        <w:rPr>
          <w:rFonts w:ascii="Arial" w:hAnsi="Arial" w:cs="Arial"/>
          <w:sz w:val="22"/>
          <w:szCs w:val="22"/>
        </w:rPr>
        <w:t>.</w:t>
      </w:r>
    </w:p>
    <w:p w14:paraId="71695871" w14:textId="77777777" w:rsidR="00017DD9" w:rsidRPr="00FE6784" w:rsidRDefault="00017DD9" w:rsidP="006B0032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  <w:highlight w:val="yellow"/>
        </w:rPr>
      </w:pPr>
    </w:p>
    <w:p w14:paraId="7172DF28" w14:textId="77777777" w:rsidR="00017DD9" w:rsidRPr="00FE6784" w:rsidRDefault="00017DD9" w:rsidP="006B0032">
      <w:pPr>
        <w:pStyle w:val="Odstavecseseznamem1"/>
        <w:keepNext/>
        <w:tabs>
          <w:tab w:val="left" w:pos="1260"/>
          <w:tab w:val="left" w:pos="1800"/>
        </w:tabs>
        <w:spacing w:after="120"/>
        <w:ind w:left="1800"/>
        <w:jc w:val="both"/>
        <w:rPr>
          <w:rFonts w:ascii="Arial" w:hAnsi="Arial" w:cs="Arial"/>
          <w:highlight w:val="yellow"/>
        </w:rPr>
      </w:pPr>
    </w:p>
    <w:p w14:paraId="02C0FBBC" w14:textId="18CFDEAC" w:rsidR="00BA3F02" w:rsidRPr="0037038A" w:rsidRDefault="004D31CB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</w:rPr>
      </w:pPr>
      <w:r w:rsidRPr="00F439BA">
        <w:rPr>
          <w:rFonts w:ascii="Arial" w:hAnsi="Arial" w:cs="Arial"/>
        </w:rPr>
        <w:t xml:space="preserve">Praha </w:t>
      </w:r>
      <w:r w:rsidR="00F439BA" w:rsidRPr="00F439BA">
        <w:rPr>
          <w:rFonts w:ascii="Arial" w:hAnsi="Arial" w:cs="Arial"/>
        </w:rPr>
        <w:t xml:space="preserve">22. března </w:t>
      </w:r>
      <w:r w:rsidR="00847929" w:rsidRPr="00F439BA">
        <w:rPr>
          <w:rFonts w:ascii="Arial" w:hAnsi="Arial" w:cs="Arial"/>
        </w:rPr>
        <w:t>2024</w:t>
      </w:r>
    </w:p>
    <w:p w14:paraId="40862002" w14:textId="77777777" w:rsidR="00BA3F02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</w:p>
    <w:sectPr w:rsidR="00BA3F02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12AA3" w14:textId="77777777" w:rsidR="00FB15E0" w:rsidRDefault="00FB15E0" w:rsidP="008F77F6">
      <w:r>
        <w:separator/>
      </w:r>
    </w:p>
  </w:endnote>
  <w:endnote w:type="continuationSeparator" w:id="0">
    <w:p w14:paraId="01940AEC" w14:textId="77777777" w:rsidR="00FB15E0" w:rsidRDefault="00FB15E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993D4" w14:textId="77777777" w:rsidR="006B0032" w:rsidRDefault="006B0032" w:rsidP="001C1BCA">
    <w:pPr>
      <w:pStyle w:val="Zpat"/>
      <w:rPr>
        <w:rFonts w:ascii="Arial" w:hAnsi="Arial" w:cs="Arial"/>
        <w:sz w:val="18"/>
        <w:szCs w:val="18"/>
      </w:rPr>
    </w:pPr>
  </w:p>
  <w:p w14:paraId="65C91344" w14:textId="1EBBCDA0"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F1C1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F1C13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AB23284" w14:textId="5EFC433E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F1C1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F1C13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05F78" w14:textId="77777777" w:rsidR="00FB15E0" w:rsidRDefault="00FB15E0" w:rsidP="008F77F6">
      <w:r>
        <w:separator/>
      </w:r>
    </w:p>
  </w:footnote>
  <w:footnote w:type="continuationSeparator" w:id="0">
    <w:p w14:paraId="48D0F0C4" w14:textId="77777777" w:rsidR="00FB15E0" w:rsidRDefault="00FB15E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4A6A3303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3D080A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B539950" wp14:editId="712D440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33C996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74C22AAF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AA39EF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0981363" wp14:editId="152CC29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2217591B" w14:textId="5C1E9479" w:rsidR="00265A36" w:rsidRPr="003C2A8E" w:rsidRDefault="00482602" w:rsidP="00F02A1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D2978">
            <w:rPr>
              <w:rFonts w:ascii="Arial" w:hAnsi="Arial" w:cs="Arial"/>
              <w:b/>
              <w:color w:val="0070C0"/>
              <w:sz w:val="28"/>
              <w:szCs w:val="28"/>
            </w:rPr>
            <w:t>99</w:t>
          </w:r>
          <w:r w:rsidR="00E67A4B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8F0E2E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14:paraId="57EC7F86" w14:textId="77777777" w:rsidR="00CC370F" w:rsidRDefault="00CC370F">
    <w:pPr>
      <w:pStyle w:val="Zhlav"/>
    </w:pPr>
  </w:p>
  <w:p w14:paraId="26E50C93" w14:textId="77777777"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B88"/>
    <w:multiLevelType w:val="hybridMultilevel"/>
    <w:tmpl w:val="C71E419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5515203"/>
    <w:multiLevelType w:val="hybridMultilevel"/>
    <w:tmpl w:val="955EAB5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2A638CF"/>
    <w:multiLevelType w:val="hybridMultilevel"/>
    <w:tmpl w:val="21B8F9A4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91268B"/>
    <w:multiLevelType w:val="hybridMultilevel"/>
    <w:tmpl w:val="AFE0B6B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430C90"/>
    <w:multiLevelType w:val="multilevel"/>
    <w:tmpl w:val="DAE63B5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C8921E4"/>
    <w:multiLevelType w:val="hybridMultilevel"/>
    <w:tmpl w:val="7F821EB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07804EA"/>
    <w:multiLevelType w:val="hybridMultilevel"/>
    <w:tmpl w:val="52448A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C4DC5"/>
    <w:multiLevelType w:val="hybridMultilevel"/>
    <w:tmpl w:val="6CAEC6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A1254FF"/>
    <w:multiLevelType w:val="hybridMultilevel"/>
    <w:tmpl w:val="FC6E96E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24C60"/>
    <w:multiLevelType w:val="hybridMultilevel"/>
    <w:tmpl w:val="4F3AB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52BDF"/>
    <w:multiLevelType w:val="hybridMultilevel"/>
    <w:tmpl w:val="144ACB9E"/>
    <w:lvl w:ilvl="0" w:tplc="12E64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8966DA"/>
    <w:multiLevelType w:val="hybridMultilevel"/>
    <w:tmpl w:val="247E6F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71086"/>
    <w:multiLevelType w:val="multilevel"/>
    <w:tmpl w:val="DAE63B54"/>
    <w:numStyleLink w:val="StylI-aa"/>
  </w:abstractNum>
  <w:abstractNum w:abstractNumId="27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4"/>
  </w:num>
  <w:num w:numId="7">
    <w:abstractNumId w:val="4"/>
  </w:num>
  <w:num w:numId="8">
    <w:abstractNumId w:val="9"/>
  </w:num>
  <w:num w:numId="9">
    <w:abstractNumId w:val="23"/>
  </w:num>
  <w:num w:numId="10">
    <w:abstractNumId w:val="22"/>
  </w:num>
  <w:num w:numId="11">
    <w:abstractNumId w:val="27"/>
  </w:num>
  <w:num w:numId="12">
    <w:abstractNumId w:val="5"/>
  </w:num>
  <w:num w:numId="13">
    <w:abstractNumId w:val="3"/>
  </w:num>
  <w:num w:numId="14">
    <w:abstractNumId w:val="2"/>
  </w:num>
  <w:num w:numId="15">
    <w:abstractNumId w:val="15"/>
  </w:num>
  <w:num w:numId="16">
    <w:abstractNumId w:val="17"/>
  </w:num>
  <w:num w:numId="17">
    <w:abstractNumId w:val="7"/>
  </w:num>
  <w:num w:numId="18">
    <w:abstractNumId w:val="26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upperRoman"/>
        <w:pStyle w:val="StylI"/>
        <w:lvlText w:val="%1."/>
        <w:lvlJc w:val="left"/>
        <w:pPr>
          <w:ind w:left="1074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24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146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1218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136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5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34" w:hanging="1440"/>
        </w:pPr>
        <w:rPr>
          <w:rFonts w:hint="default"/>
        </w:rPr>
      </w:lvl>
    </w:lvlOverride>
  </w:num>
  <w:num w:numId="20">
    <w:abstractNumId w:val="21"/>
  </w:num>
  <w:num w:numId="21">
    <w:abstractNumId w:val="11"/>
  </w:num>
  <w:num w:numId="22">
    <w:abstractNumId w:val="1"/>
  </w:num>
  <w:num w:numId="23">
    <w:abstractNumId w:val="18"/>
  </w:num>
  <w:num w:numId="24">
    <w:abstractNumId w:val="12"/>
  </w:num>
  <w:num w:numId="25">
    <w:abstractNumId w:val="14"/>
  </w:num>
  <w:num w:numId="26">
    <w:abstractNumId w:val="19"/>
  </w:num>
  <w:num w:numId="27">
    <w:abstractNumId w:val="10"/>
  </w:num>
  <w:num w:numId="28">
    <w:abstractNumId w:val="8"/>
  </w:num>
  <w:num w:numId="29">
    <w:abstractNumId w:val="25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00"/>
    <w:rsid w:val="00002C1D"/>
    <w:rsid w:val="000121AC"/>
    <w:rsid w:val="000154C3"/>
    <w:rsid w:val="00017DD9"/>
    <w:rsid w:val="00027A0F"/>
    <w:rsid w:val="00030D65"/>
    <w:rsid w:val="00057A10"/>
    <w:rsid w:val="00066301"/>
    <w:rsid w:val="00066B5F"/>
    <w:rsid w:val="00080CF5"/>
    <w:rsid w:val="000B01EA"/>
    <w:rsid w:val="000C3BCE"/>
    <w:rsid w:val="000C4A33"/>
    <w:rsid w:val="000D3E70"/>
    <w:rsid w:val="000E33B8"/>
    <w:rsid w:val="000E7B7E"/>
    <w:rsid w:val="00103A2C"/>
    <w:rsid w:val="00106570"/>
    <w:rsid w:val="00106E81"/>
    <w:rsid w:val="00116145"/>
    <w:rsid w:val="00121AC7"/>
    <w:rsid w:val="001223D8"/>
    <w:rsid w:val="001249D9"/>
    <w:rsid w:val="00132384"/>
    <w:rsid w:val="001441D8"/>
    <w:rsid w:val="0015414E"/>
    <w:rsid w:val="00154A10"/>
    <w:rsid w:val="00155724"/>
    <w:rsid w:val="0016183E"/>
    <w:rsid w:val="00180ACC"/>
    <w:rsid w:val="001958A4"/>
    <w:rsid w:val="001A7212"/>
    <w:rsid w:val="001B0562"/>
    <w:rsid w:val="001C1BCA"/>
    <w:rsid w:val="001C35EF"/>
    <w:rsid w:val="001C49D2"/>
    <w:rsid w:val="001C52C6"/>
    <w:rsid w:val="001D278E"/>
    <w:rsid w:val="001E26B9"/>
    <w:rsid w:val="001E38C7"/>
    <w:rsid w:val="001E518C"/>
    <w:rsid w:val="001F278E"/>
    <w:rsid w:val="001F3095"/>
    <w:rsid w:val="00201426"/>
    <w:rsid w:val="002109AB"/>
    <w:rsid w:val="00232F21"/>
    <w:rsid w:val="00237006"/>
    <w:rsid w:val="0023719A"/>
    <w:rsid w:val="00261F35"/>
    <w:rsid w:val="0026277C"/>
    <w:rsid w:val="0026521D"/>
    <w:rsid w:val="00265A36"/>
    <w:rsid w:val="00271A68"/>
    <w:rsid w:val="00296CCF"/>
    <w:rsid w:val="002A1361"/>
    <w:rsid w:val="002A4EC4"/>
    <w:rsid w:val="002A6AAB"/>
    <w:rsid w:val="002B1A47"/>
    <w:rsid w:val="002C22C2"/>
    <w:rsid w:val="002C6803"/>
    <w:rsid w:val="002D2BD6"/>
    <w:rsid w:val="002E2591"/>
    <w:rsid w:val="002E6D2C"/>
    <w:rsid w:val="002F5DF1"/>
    <w:rsid w:val="00317CFF"/>
    <w:rsid w:val="00323F7F"/>
    <w:rsid w:val="00324CD0"/>
    <w:rsid w:val="00341A14"/>
    <w:rsid w:val="00360293"/>
    <w:rsid w:val="0036036A"/>
    <w:rsid w:val="00367FC4"/>
    <w:rsid w:val="0037038A"/>
    <w:rsid w:val="003712C8"/>
    <w:rsid w:val="003712F7"/>
    <w:rsid w:val="00373AA5"/>
    <w:rsid w:val="00386056"/>
    <w:rsid w:val="00387B05"/>
    <w:rsid w:val="00391E7B"/>
    <w:rsid w:val="00394412"/>
    <w:rsid w:val="003C1F10"/>
    <w:rsid w:val="003C2207"/>
    <w:rsid w:val="003C2A8E"/>
    <w:rsid w:val="003C40FE"/>
    <w:rsid w:val="003E3A66"/>
    <w:rsid w:val="003F2EE0"/>
    <w:rsid w:val="0040468E"/>
    <w:rsid w:val="00420FA1"/>
    <w:rsid w:val="00426530"/>
    <w:rsid w:val="00427619"/>
    <w:rsid w:val="00437322"/>
    <w:rsid w:val="00452DFC"/>
    <w:rsid w:val="00457A97"/>
    <w:rsid w:val="00460435"/>
    <w:rsid w:val="004660E8"/>
    <w:rsid w:val="00482602"/>
    <w:rsid w:val="00484BE0"/>
    <w:rsid w:val="00492346"/>
    <w:rsid w:val="004C1047"/>
    <w:rsid w:val="004D2D6C"/>
    <w:rsid w:val="004D30DC"/>
    <w:rsid w:val="004D31CB"/>
    <w:rsid w:val="004F7DAB"/>
    <w:rsid w:val="00503FF7"/>
    <w:rsid w:val="00505092"/>
    <w:rsid w:val="005116B5"/>
    <w:rsid w:val="00516652"/>
    <w:rsid w:val="005257D1"/>
    <w:rsid w:val="0053696A"/>
    <w:rsid w:val="00571676"/>
    <w:rsid w:val="005A003C"/>
    <w:rsid w:val="005A0A12"/>
    <w:rsid w:val="005D26B3"/>
    <w:rsid w:val="005E07E8"/>
    <w:rsid w:val="005E10FA"/>
    <w:rsid w:val="005E43C2"/>
    <w:rsid w:val="00601FDA"/>
    <w:rsid w:val="00610729"/>
    <w:rsid w:val="00611D82"/>
    <w:rsid w:val="00616978"/>
    <w:rsid w:val="0062447C"/>
    <w:rsid w:val="00625550"/>
    <w:rsid w:val="00643852"/>
    <w:rsid w:val="00645780"/>
    <w:rsid w:val="00662D56"/>
    <w:rsid w:val="00662D90"/>
    <w:rsid w:val="006A30ED"/>
    <w:rsid w:val="006A34F8"/>
    <w:rsid w:val="006B0032"/>
    <w:rsid w:val="006B0722"/>
    <w:rsid w:val="006B31DD"/>
    <w:rsid w:val="006D3311"/>
    <w:rsid w:val="006D6D4D"/>
    <w:rsid w:val="006E40D8"/>
    <w:rsid w:val="006F37FF"/>
    <w:rsid w:val="006F43DD"/>
    <w:rsid w:val="00706854"/>
    <w:rsid w:val="00713576"/>
    <w:rsid w:val="00715F0F"/>
    <w:rsid w:val="00720790"/>
    <w:rsid w:val="00730933"/>
    <w:rsid w:val="00734EE9"/>
    <w:rsid w:val="00746F36"/>
    <w:rsid w:val="007608EC"/>
    <w:rsid w:val="007639F4"/>
    <w:rsid w:val="00764202"/>
    <w:rsid w:val="00766839"/>
    <w:rsid w:val="007838F7"/>
    <w:rsid w:val="00790116"/>
    <w:rsid w:val="007B4FAD"/>
    <w:rsid w:val="007D2978"/>
    <w:rsid w:val="007D64A5"/>
    <w:rsid w:val="007E65F4"/>
    <w:rsid w:val="008069B5"/>
    <w:rsid w:val="00810AA0"/>
    <w:rsid w:val="00822F5B"/>
    <w:rsid w:val="00823255"/>
    <w:rsid w:val="00825F99"/>
    <w:rsid w:val="008349FB"/>
    <w:rsid w:val="00834F4C"/>
    <w:rsid w:val="008449B6"/>
    <w:rsid w:val="00847929"/>
    <w:rsid w:val="0084795D"/>
    <w:rsid w:val="00852A09"/>
    <w:rsid w:val="008659F2"/>
    <w:rsid w:val="00876F98"/>
    <w:rsid w:val="0088148C"/>
    <w:rsid w:val="008A402F"/>
    <w:rsid w:val="008B6EE7"/>
    <w:rsid w:val="008C3A37"/>
    <w:rsid w:val="008D0383"/>
    <w:rsid w:val="008E5537"/>
    <w:rsid w:val="008F0E2E"/>
    <w:rsid w:val="008F2B28"/>
    <w:rsid w:val="008F566B"/>
    <w:rsid w:val="008F77F6"/>
    <w:rsid w:val="00902988"/>
    <w:rsid w:val="009035D5"/>
    <w:rsid w:val="009036A7"/>
    <w:rsid w:val="00934044"/>
    <w:rsid w:val="0093483B"/>
    <w:rsid w:val="00942CEA"/>
    <w:rsid w:val="0095777C"/>
    <w:rsid w:val="009758E5"/>
    <w:rsid w:val="009A085D"/>
    <w:rsid w:val="009A5620"/>
    <w:rsid w:val="009D44E8"/>
    <w:rsid w:val="009E2156"/>
    <w:rsid w:val="009E320B"/>
    <w:rsid w:val="009E5DA7"/>
    <w:rsid w:val="009F5416"/>
    <w:rsid w:val="00A04B83"/>
    <w:rsid w:val="00A21C92"/>
    <w:rsid w:val="00A3472F"/>
    <w:rsid w:val="00A513E5"/>
    <w:rsid w:val="00A57291"/>
    <w:rsid w:val="00A662B0"/>
    <w:rsid w:val="00A90CE7"/>
    <w:rsid w:val="00A92BF6"/>
    <w:rsid w:val="00A97A8C"/>
    <w:rsid w:val="00AA6A69"/>
    <w:rsid w:val="00AD413F"/>
    <w:rsid w:val="00AD5458"/>
    <w:rsid w:val="00AD68D5"/>
    <w:rsid w:val="00AD6D3E"/>
    <w:rsid w:val="00AD70B0"/>
    <w:rsid w:val="00AE772A"/>
    <w:rsid w:val="00AE795F"/>
    <w:rsid w:val="00B025F8"/>
    <w:rsid w:val="00B02709"/>
    <w:rsid w:val="00B13736"/>
    <w:rsid w:val="00B16526"/>
    <w:rsid w:val="00B244F3"/>
    <w:rsid w:val="00B26656"/>
    <w:rsid w:val="00B27405"/>
    <w:rsid w:val="00B35257"/>
    <w:rsid w:val="00B462EE"/>
    <w:rsid w:val="00B51A36"/>
    <w:rsid w:val="00B66E9F"/>
    <w:rsid w:val="00B75545"/>
    <w:rsid w:val="00B96973"/>
    <w:rsid w:val="00BA3F02"/>
    <w:rsid w:val="00BA6EE3"/>
    <w:rsid w:val="00BD70D7"/>
    <w:rsid w:val="00BD7C77"/>
    <w:rsid w:val="00BE77A0"/>
    <w:rsid w:val="00BF1715"/>
    <w:rsid w:val="00C02FBE"/>
    <w:rsid w:val="00C05CE6"/>
    <w:rsid w:val="00C364F5"/>
    <w:rsid w:val="00C37615"/>
    <w:rsid w:val="00C37B62"/>
    <w:rsid w:val="00C50430"/>
    <w:rsid w:val="00C62B82"/>
    <w:rsid w:val="00C64375"/>
    <w:rsid w:val="00C7056E"/>
    <w:rsid w:val="00CA5414"/>
    <w:rsid w:val="00CB0DF6"/>
    <w:rsid w:val="00CB6996"/>
    <w:rsid w:val="00CC370F"/>
    <w:rsid w:val="00CD5546"/>
    <w:rsid w:val="00CD72F6"/>
    <w:rsid w:val="00CF0116"/>
    <w:rsid w:val="00CF1C13"/>
    <w:rsid w:val="00CF4C80"/>
    <w:rsid w:val="00D013D6"/>
    <w:rsid w:val="00D2180B"/>
    <w:rsid w:val="00D32F51"/>
    <w:rsid w:val="00D34C62"/>
    <w:rsid w:val="00D41A7D"/>
    <w:rsid w:val="00D4493C"/>
    <w:rsid w:val="00D7317A"/>
    <w:rsid w:val="00D76337"/>
    <w:rsid w:val="00D76AE7"/>
    <w:rsid w:val="00D76F53"/>
    <w:rsid w:val="00D80600"/>
    <w:rsid w:val="00D9573B"/>
    <w:rsid w:val="00D97AE9"/>
    <w:rsid w:val="00DA187A"/>
    <w:rsid w:val="00DA3F29"/>
    <w:rsid w:val="00DA7276"/>
    <w:rsid w:val="00DB36DE"/>
    <w:rsid w:val="00DC2F28"/>
    <w:rsid w:val="00DC5FE9"/>
    <w:rsid w:val="00DF53FE"/>
    <w:rsid w:val="00E32145"/>
    <w:rsid w:val="00E34F0B"/>
    <w:rsid w:val="00E42695"/>
    <w:rsid w:val="00E57AEA"/>
    <w:rsid w:val="00E67A4B"/>
    <w:rsid w:val="00E7659E"/>
    <w:rsid w:val="00E82C93"/>
    <w:rsid w:val="00E90863"/>
    <w:rsid w:val="00EE33FB"/>
    <w:rsid w:val="00EE4843"/>
    <w:rsid w:val="00EE6075"/>
    <w:rsid w:val="00EF62D8"/>
    <w:rsid w:val="00F02A1A"/>
    <w:rsid w:val="00F06747"/>
    <w:rsid w:val="00F069EC"/>
    <w:rsid w:val="00F123DB"/>
    <w:rsid w:val="00F15D94"/>
    <w:rsid w:val="00F20115"/>
    <w:rsid w:val="00F250BE"/>
    <w:rsid w:val="00F41DC6"/>
    <w:rsid w:val="00F4222F"/>
    <w:rsid w:val="00F439BA"/>
    <w:rsid w:val="00F643B7"/>
    <w:rsid w:val="00F65F3A"/>
    <w:rsid w:val="00F73B69"/>
    <w:rsid w:val="00F76FDC"/>
    <w:rsid w:val="00F85F64"/>
    <w:rsid w:val="00F96CDB"/>
    <w:rsid w:val="00FB15E0"/>
    <w:rsid w:val="00FB3477"/>
    <w:rsid w:val="00FB4178"/>
    <w:rsid w:val="00FD3F99"/>
    <w:rsid w:val="00FE6784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837AA1"/>
  <w15:docId w15:val="{D545119C-BDD6-49FD-B756-C478CCF8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3A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3A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E3A66"/>
    <w:rPr>
      <w:vertAlign w:val="superscript"/>
    </w:rPr>
  </w:style>
  <w:style w:type="numbering" w:customStyle="1" w:styleId="StylI-aa">
    <w:name w:val="Styl I-aa)"/>
    <w:uiPriority w:val="99"/>
    <w:rsid w:val="00C64375"/>
    <w:pPr>
      <w:numPr>
        <w:numId w:val="21"/>
      </w:numPr>
    </w:pPr>
  </w:style>
  <w:style w:type="paragraph" w:customStyle="1" w:styleId="StylI">
    <w:name w:val="Styl I."/>
    <w:link w:val="StylIChar"/>
    <w:qFormat/>
    <w:rsid w:val="00C64375"/>
    <w:pPr>
      <w:numPr>
        <w:numId w:val="19"/>
      </w:numPr>
      <w:spacing w:before="120" w:after="240"/>
      <w:ind w:left="360"/>
      <w:jc w:val="both"/>
    </w:pPr>
    <w:rPr>
      <w:rFonts w:ascii="Arial" w:eastAsia="Calibri" w:hAnsi="Arial" w:cs="Times New Roman"/>
      <w:lang w:val="x-none"/>
    </w:rPr>
  </w:style>
  <w:style w:type="character" w:customStyle="1" w:styleId="StylIChar">
    <w:name w:val="Styl I. Char"/>
    <w:link w:val="StylI"/>
    <w:rsid w:val="00C64375"/>
    <w:rPr>
      <w:rFonts w:ascii="Arial" w:eastAsia="Calibri" w:hAnsi="Arial" w:cs="Times New Roman"/>
      <w:lang w:val="x-none"/>
    </w:rPr>
  </w:style>
  <w:style w:type="paragraph" w:customStyle="1" w:styleId="Stylaa">
    <w:name w:val="Styl aa)"/>
    <w:qFormat/>
    <w:rsid w:val="00C64375"/>
    <w:pPr>
      <w:numPr>
        <w:ilvl w:val="3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paragraph" w:customStyle="1" w:styleId="Styla">
    <w:name w:val="Styl a)"/>
    <w:qFormat/>
    <w:rsid w:val="00C64375"/>
    <w:pPr>
      <w:numPr>
        <w:ilvl w:val="2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table" w:styleId="Barevnseznamzvraznn1">
    <w:name w:val="Colorful List Accent 1"/>
    <w:basedOn w:val="Normlntabulka"/>
    <w:uiPriority w:val="72"/>
    <w:semiHidden/>
    <w:unhideWhenUsed/>
    <w:rsid w:val="00C6437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F2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7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7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7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ulkasmkou21">
    <w:name w:val="Tabulka s mřížkou 21"/>
    <w:basedOn w:val="Normlntabulka"/>
    <w:uiPriority w:val="47"/>
    <w:rsid w:val="002A4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ze">
    <w:name w:val="Revision"/>
    <w:hidden/>
    <w:uiPriority w:val="99"/>
    <w:semiHidden/>
    <w:rsid w:val="005E0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C618E-BD2B-4C4A-8981-8E81E62E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1440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3</cp:revision>
  <cp:lastPrinted>2023-08-23T11:20:00Z</cp:lastPrinted>
  <dcterms:created xsi:type="dcterms:W3CDTF">2024-03-11T09:52:00Z</dcterms:created>
  <dcterms:modified xsi:type="dcterms:W3CDTF">2024-03-18T12:59:00Z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